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445" w:rightChars="-159"/>
        <w:jc w:val="center"/>
        <w:rPr>
          <w:rFonts w:hint="eastAsia" w:ascii="Times New Roman" w:hAnsi="Times New Roman" w:eastAsia="华文新魏" w:cs="Times New Roman"/>
          <w:color w:val="auto"/>
          <w:sz w:val="52"/>
          <w:szCs w:val="52"/>
          <w:highlight w:val="none"/>
        </w:rPr>
      </w:pPr>
      <w:r>
        <w:rPr>
          <w:rFonts w:hint="eastAsia" w:ascii="Times New Roman" w:hAnsi="Times New Roman" w:eastAsia="华文新魏" w:cs="Times New Roman"/>
          <w:color w:val="auto"/>
          <w:sz w:val="52"/>
          <w:szCs w:val="52"/>
          <w:highlight w:val="none"/>
        </w:rPr>
        <w:t>伊电园数字经济基地及配套基础设施建设项目</w:t>
      </w:r>
    </w:p>
    <w:p>
      <w:pPr>
        <w:ind w:right="-445" w:rightChars="-159"/>
        <w:rPr>
          <w:rFonts w:hint="eastAsia" w:ascii="华文隶书" w:eastAsia="华文隶书"/>
          <w:color w:val="auto"/>
          <w:sz w:val="16"/>
          <w:szCs w:val="16"/>
          <w:highlight w:val="none"/>
        </w:rPr>
      </w:pPr>
    </w:p>
    <w:p>
      <w:pPr>
        <w:ind w:right="-445" w:rightChars="-159"/>
        <w:jc w:val="center"/>
        <w:rPr>
          <w:rFonts w:hint="eastAsia" w:ascii="华文隶书" w:eastAsia="华文隶书"/>
          <w:color w:val="auto"/>
          <w:sz w:val="16"/>
          <w:szCs w:val="16"/>
          <w:highlight w:val="none"/>
        </w:rPr>
      </w:pPr>
      <w:r>
        <w:rPr>
          <w:rFonts w:hint="eastAsia" w:eastAsia="华文新魏"/>
          <w:color w:val="auto"/>
          <w:sz w:val="72"/>
          <w:szCs w:val="72"/>
          <w:highlight w:val="none"/>
        </w:rPr>
        <w:t>中 介 预 算</w:t>
      </w:r>
    </w:p>
    <w:p>
      <w:pPr>
        <w:ind w:right="-445" w:rightChars="-159"/>
        <w:rPr>
          <w:rFonts w:hint="eastAsia" w:ascii="华文隶书" w:eastAsia="华文隶书"/>
          <w:color w:val="auto"/>
          <w:sz w:val="16"/>
          <w:szCs w:val="16"/>
          <w:highlight w:val="none"/>
        </w:rPr>
      </w:pPr>
    </w:p>
    <w:p>
      <w:pPr>
        <w:ind w:right="-445" w:rightChars="-159"/>
        <w:rPr>
          <w:rFonts w:hint="eastAsia" w:ascii="华文隶书" w:eastAsia="华文隶书"/>
          <w:color w:val="auto"/>
          <w:sz w:val="16"/>
          <w:szCs w:val="16"/>
          <w:highlight w:val="none"/>
        </w:rPr>
      </w:pPr>
    </w:p>
    <w:p>
      <w:pPr>
        <w:ind w:right="-445" w:rightChars="-159"/>
        <w:rPr>
          <w:rFonts w:hint="eastAsia" w:ascii="华文隶书" w:eastAsia="华文隶书"/>
          <w:color w:val="auto"/>
          <w:sz w:val="16"/>
          <w:szCs w:val="16"/>
          <w:highlight w:val="none"/>
        </w:rPr>
      </w:pPr>
    </w:p>
    <w:p>
      <w:pPr>
        <w:ind w:right="-445" w:rightChars="-159"/>
        <w:rPr>
          <w:rFonts w:hint="eastAsia" w:ascii="华文隶书" w:eastAsia="华文隶书"/>
          <w:color w:val="auto"/>
          <w:sz w:val="16"/>
          <w:szCs w:val="16"/>
          <w:highlight w:val="none"/>
        </w:rPr>
      </w:pPr>
    </w:p>
    <w:p>
      <w:pPr>
        <w:ind w:right="-445" w:rightChars="-159"/>
        <w:rPr>
          <w:rFonts w:hint="eastAsia" w:ascii="华文隶书" w:eastAsia="华文隶书"/>
          <w:color w:val="auto"/>
          <w:sz w:val="16"/>
          <w:szCs w:val="16"/>
          <w:highlight w:val="none"/>
        </w:rPr>
      </w:pPr>
    </w:p>
    <w:p>
      <w:pPr>
        <w:ind w:right="-445" w:rightChars="-159"/>
        <w:rPr>
          <w:rFonts w:hint="eastAsia" w:ascii="华文隶书" w:eastAsia="华文隶书"/>
          <w:color w:val="auto"/>
          <w:sz w:val="16"/>
          <w:szCs w:val="16"/>
          <w:highlight w:val="none"/>
        </w:rPr>
      </w:pPr>
    </w:p>
    <w:p>
      <w:pPr>
        <w:ind w:right="-445" w:rightChars="-159"/>
        <w:rPr>
          <w:rFonts w:hint="eastAsia" w:ascii="华文隶书" w:eastAsia="华文隶书"/>
          <w:color w:val="auto"/>
          <w:sz w:val="16"/>
          <w:szCs w:val="16"/>
          <w:highlight w:val="none"/>
        </w:rPr>
      </w:pPr>
    </w:p>
    <w:p>
      <w:pPr>
        <w:ind w:right="-445" w:rightChars="-159"/>
        <w:rPr>
          <w:rFonts w:hint="eastAsia" w:ascii="楷体" w:hAnsi="楷体" w:eastAsia="楷体"/>
          <w:color w:val="auto"/>
          <w:sz w:val="130"/>
          <w:szCs w:val="130"/>
          <w:highlight w:val="none"/>
        </w:rPr>
      </w:pPr>
      <w:r>
        <w:rPr>
          <w:rFonts w:hint="eastAsia" w:ascii="仿宋_GB2312" w:hAnsi="宋体" w:eastAsia="仿宋_GB2312"/>
          <w:color w:val="auto"/>
          <w:sz w:val="48"/>
          <w:szCs w:val="48"/>
          <w:highlight w:val="none"/>
        </w:rPr>
        <w:t xml:space="preserve">          </w:t>
      </w:r>
      <w:r>
        <w:rPr>
          <w:rFonts w:hint="eastAsia" w:ascii="仿宋_GB2312" w:hAnsi="宋体" w:eastAsia="仿宋_GB2312"/>
          <w:color w:val="auto"/>
          <w:sz w:val="48"/>
          <w:szCs w:val="48"/>
          <w:highlight w:val="none"/>
        </w:rPr>
        <w:pict>
          <v:shape id="_x0000_i1025" o:spt="136" type="#_x0000_t136" style="height:83pt;width:176.05pt;" fillcolor="#333333" filled="t" stroked="t" coordsize="21600,21600">
            <v:path/>
            <v:fill on="t" focussize="0,0"/>
            <v:stroke/>
            <v:imagedata o:title=""/>
            <o:lock v:ext="edit"/>
            <v:textpath on="t" fitshape="t" fitpath="t" trim="t" xscale="f" string="报告书" style="font-family:华文行楷;font-size:36pt;v-rotate-letters:f;v-same-letter-heights:f;v-text-align:center;"/>
            <w10:wrap type="none"/>
            <w10:anchorlock/>
          </v:shape>
        </w:pict>
      </w:r>
    </w:p>
    <w:p>
      <w:pPr>
        <w:jc w:val="center"/>
        <w:rPr>
          <w:rFonts w:hint="eastAsia" w:ascii="仿宋_GB2312" w:hAnsi="宋体" w:eastAsia="仿宋_GB2312"/>
          <w:color w:val="auto"/>
          <w:sz w:val="48"/>
          <w:szCs w:val="48"/>
          <w:highlight w:val="none"/>
        </w:rPr>
      </w:pPr>
      <w:r>
        <w:rPr>
          <w:rFonts w:hint="eastAsia" w:ascii="仿宋_GB2312" w:hAnsi="宋体" w:eastAsia="仿宋_GB2312"/>
          <w:color w:val="auto"/>
          <w:sz w:val="48"/>
          <w:szCs w:val="48"/>
          <w:highlight w:val="none"/>
        </w:rPr>
        <w:t>（202</w:t>
      </w:r>
      <w:r>
        <w:rPr>
          <w:rFonts w:hint="eastAsia" w:ascii="仿宋_GB2312" w:hAnsi="宋体" w:eastAsia="仿宋_GB2312"/>
          <w:color w:val="auto"/>
          <w:sz w:val="48"/>
          <w:szCs w:val="48"/>
          <w:highlight w:val="none"/>
          <w:lang w:val="en-US" w:eastAsia="zh-CN"/>
        </w:rPr>
        <w:t>3</w:t>
      </w:r>
      <w:r>
        <w:rPr>
          <w:rFonts w:hint="eastAsia" w:ascii="仿宋_GB2312" w:hAnsi="宋体" w:eastAsia="仿宋_GB2312"/>
          <w:color w:val="auto"/>
          <w:sz w:val="48"/>
          <w:szCs w:val="48"/>
          <w:highlight w:val="none"/>
        </w:rPr>
        <w:t>年</w:t>
      </w:r>
      <w:r>
        <w:rPr>
          <w:rFonts w:hint="eastAsia" w:ascii="仿宋_GB2312" w:hAnsi="宋体" w:eastAsia="仿宋_GB2312"/>
          <w:color w:val="auto"/>
          <w:sz w:val="48"/>
          <w:szCs w:val="48"/>
          <w:highlight w:val="none"/>
          <w:lang w:val="en-US" w:eastAsia="zh-CN"/>
        </w:rPr>
        <w:t>10</w:t>
      </w:r>
      <w:r>
        <w:rPr>
          <w:rFonts w:hint="eastAsia" w:ascii="仿宋_GB2312" w:hAnsi="宋体" w:eastAsia="仿宋_GB2312"/>
          <w:color w:val="auto"/>
          <w:sz w:val="48"/>
          <w:szCs w:val="48"/>
          <w:highlight w:val="none"/>
        </w:rPr>
        <w:t>月</w:t>
      </w:r>
      <w:r>
        <w:rPr>
          <w:rFonts w:hint="eastAsia" w:ascii="仿宋_GB2312" w:hAnsi="宋体" w:eastAsia="仿宋_GB2312"/>
          <w:color w:val="auto"/>
          <w:sz w:val="48"/>
          <w:szCs w:val="48"/>
          <w:highlight w:val="none"/>
          <w:lang w:val="en-US" w:eastAsia="zh-CN"/>
        </w:rPr>
        <w:t>27</w:t>
      </w:r>
      <w:r>
        <w:rPr>
          <w:rFonts w:hint="eastAsia" w:ascii="仿宋_GB2312" w:hAnsi="宋体" w:eastAsia="仿宋_GB2312"/>
          <w:color w:val="auto"/>
          <w:sz w:val="48"/>
          <w:szCs w:val="48"/>
          <w:highlight w:val="none"/>
        </w:rPr>
        <w:t>日）</w:t>
      </w:r>
    </w:p>
    <w:p>
      <w:pPr>
        <w:spacing w:line="200" w:lineRule="atLeast"/>
        <w:ind w:left="-238" w:leftChars="-85" w:right="-445" w:rightChars="-159"/>
        <w:jc w:val="center"/>
        <w:rPr>
          <w:rFonts w:hint="eastAsia" w:eastAsia="华文隶书"/>
          <w:i/>
          <w:color w:val="auto"/>
          <w:sz w:val="18"/>
          <w:szCs w:val="18"/>
          <w:highlight w:val="none"/>
        </w:rPr>
      </w:pPr>
    </w:p>
    <w:p>
      <w:pPr>
        <w:spacing w:line="200" w:lineRule="atLeast"/>
        <w:ind w:left="-238" w:leftChars="-85" w:right="-445" w:rightChars="-159"/>
        <w:jc w:val="center"/>
        <w:rPr>
          <w:rFonts w:hint="eastAsia" w:eastAsia="华文隶书"/>
          <w:i/>
          <w:color w:val="auto"/>
          <w:sz w:val="18"/>
          <w:szCs w:val="18"/>
          <w:highlight w:val="none"/>
        </w:rPr>
      </w:pPr>
    </w:p>
    <w:p>
      <w:pPr>
        <w:spacing w:line="200" w:lineRule="atLeast"/>
        <w:ind w:left="-238" w:leftChars="-85" w:right="-445" w:rightChars="-159"/>
        <w:jc w:val="center"/>
        <w:rPr>
          <w:rFonts w:hint="eastAsia" w:eastAsia="华文隶书"/>
          <w:color w:val="auto"/>
          <w:sz w:val="18"/>
          <w:szCs w:val="18"/>
          <w:highlight w:val="none"/>
        </w:rPr>
      </w:pPr>
    </w:p>
    <w:p>
      <w:pPr>
        <w:spacing w:line="200" w:lineRule="atLeast"/>
        <w:ind w:left="-238" w:leftChars="-85" w:right="-445" w:rightChars="-159"/>
        <w:jc w:val="center"/>
        <w:rPr>
          <w:rFonts w:hint="eastAsia" w:eastAsia="华文隶书"/>
          <w:color w:val="auto"/>
          <w:sz w:val="18"/>
          <w:szCs w:val="18"/>
          <w:highlight w:val="none"/>
        </w:rPr>
      </w:pPr>
    </w:p>
    <w:p>
      <w:pPr>
        <w:spacing w:line="200" w:lineRule="atLeast"/>
        <w:ind w:left="-238" w:leftChars="-85" w:right="-445" w:rightChars="-159"/>
        <w:jc w:val="center"/>
        <w:rPr>
          <w:rFonts w:hint="eastAsia" w:eastAsia="华文隶书"/>
          <w:color w:val="auto"/>
          <w:sz w:val="18"/>
          <w:szCs w:val="18"/>
          <w:highlight w:val="none"/>
        </w:rPr>
      </w:pPr>
    </w:p>
    <w:p>
      <w:pPr>
        <w:spacing w:line="200" w:lineRule="atLeast"/>
        <w:ind w:left="-238" w:leftChars="-85" w:right="-445" w:rightChars="-159"/>
        <w:jc w:val="center"/>
        <w:rPr>
          <w:rFonts w:hint="eastAsia" w:eastAsia="华文隶书"/>
          <w:color w:val="auto"/>
          <w:sz w:val="18"/>
          <w:szCs w:val="18"/>
          <w:highlight w:val="none"/>
        </w:rPr>
      </w:pPr>
    </w:p>
    <w:p>
      <w:pPr>
        <w:spacing w:line="200" w:lineRule="atLeast"/>
        <w:ind w:left="-238" w:leftChars="-85" w:right="-445" w:rightChars="-159"/>
        <w:jc w:val="center"/>
        <w:rPr>
          <w:rFonts w:hint="eastAsia" w:eastAsia="华文隶书"/>
          <w:color w:val="auto"/>
          <w:sz w:val="18"/>
          <w:szCs w:val="18"/>
          <w:highlight w:val="none"/>
        </w:rPr>
      </w:pPr>
    </w:p>
    <w:p>
      <w:pPr>
        <w:spacing w:line="200" w:lineRule="atLeast"/>
        <w:ind w:right="-445" w:rightChars="-159"/>
        <w:rPr>
          <w:rFonts w:hint="eastAsia" w:ascii="仿宋_GB2312" w:hAnsi="宋体" w:eastAsia="仿宋_GB2312"/>
          <w:b/>
          <w:color w:val="auto"/>
          <w:sz w:val="10"/>
          <w:szCs w:val="10"/>
          <w:highlight w:val="none"/>
        </w:rPr>
      </w:pPr>
    </w:p>
    <w:p>
      <w:pPr>
        <w:spacing w:line="600" w:lineRule="exact"/>
        <w:ind w:left="-238" w:leftChars="-85" w:right="-445" w:rightChars="-159"/>
        <w:jc w:val="center"/>
        <w:rPr>
          <w:rFonts w:hint="eastAsia" w:ascii="仿宋_GB2312" w:hAnsi="宋体" w:eastAsia="仿宋_GB2312"/>
          <w:b/>
          <w:color w:val="auto"/>
          <w:sz w:val="36"/>
          <w:szCs w:val="36"/>
          <w:highlight w:val="none"/>
        </w:rPr>
      </w:pPr>
      <w:r>
        <w:rPr>
          <w:rFonts w:hint="eastAsia" w:ascii="仿宋_GB2312" w:hAnsi="宋体" w:eastAsia="仿宋_GB2312"/>
          <w:b/>
          <w:color w:val="auto"/>
          <w:sz w:val="36"/>
          <w:szCs w:val="36"/>
          <w:highlight w:val="none"/>
        </w:rPr>
        <w:t>编制单位：广东华禹工程咨询有限公司</w:t>
      </w:r>
    </w:p>
    <w:p>
      <w:pPr>
        <w:spacing w:line="600" w:lineRule="exact"/>
        <w:jc w:val="center"/>
        <w:rPr>
          <w:rFonts w:hint="eastAsia" w:ascii="仿宋_GB2312" w:hAnsi="宋体" w:eastAsia="仿宋_GB2312"/>
          <w:b/>
          <w:color w:val="auto"/>
          <w:sz w:val="28"/>
          <w:szCs w:val="28"/>
          <w:highlight w:val="none"/>
          <w:u w:val="single"/>
        </w:rPr>
      </w:pPr>
      <w:r>
        <w:rPr>
          <w:rFonts w:hint="eastAsia" w:ascii="仿宋_GB2312" w:hAnsi="宋体" w:eastAsia="仿宋_GB2312"/>
          <w:b/>
          <w:color w:val="auto"/>
          <w:sz w:val="28"/>
          <w:szCs w:val="28"/>
          <w:highlight w:val="none"/>
          <w:u w:val="single"/>
        </w:rPr>
        <w:t>公司地址：中山市兴中道11号兴中大厦17B</w:t>
      </w:r>
    </w:p>
    <w:p>
      <w:pPr>
        <w:ind w:right="-445" w:rightChars="-159"/>
        <w:rPr>
          <w:rFonts w:hint="eastAsia" w:ascii="华文隶书" w:eastAsia="华文隶书"/>
          <w:color w:val="auto"/>
          <w:sz w:val="16"/>
          <w:szCs w:val="16"/>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b/>
          <w:color w:val="auto"/>
          <w:sz w:val="36"/>
          <w:szCs w:val="36"/>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cs="Times New Roman"/>
          <w:b/>
          <w:color w:val="auto"/>
          <w:sz w:val="36"/>
          <w:szCs w:val="36"/>
          <w:highlight w:val="none"/>
        </w:rPr>
      </w:pPr>
      <w:r>
        <w:rPr>
          <w:rFonts w:hint="eastAsia" w:ascii="仿宋_GB2312" w:hAnsi="宋体" w:eastAsia="仿宋_GB2312"/>
          <w:b/>
          <w:color w:val="auto"/>
          <w:sz w:val="36"/>
          <w:szCs w:val="36"/>
          <w:highlight w:val="none"/>
          <w:lang w:val="en-US" w:eastAsia="zh-CN"/>
        </w:rPr>
        <w:t>审核</w:t>
      </w:r>
      <w:r>
        <w:rPr>
          <w:rFonts w:hint="eastAsia" w:ascii="仿宋_GB2312" w:hAnsi="宋体" w:eastAsia="仿宋_GB2312"/>
          <w:b/>
          <w:color w:val="auto"/>
          <w:sz w:val="36"/>
          <w:szCs w:val="36"/>
          <w:highlight w:val="none"/>
        </w:rPr>
        <w:t>单位：</w:t>
      </w:r>
      <w:r>
        <w:rPr>
          <w:rFonts w:hint="eastAsia" w:ascii="仿宋_GB2312" w:hAnsi="宋体" w:eastAsia="仿宋_GB2312" w:cs="Times New Roman"/>
          <w:b/>
          <w:color w:val="auto"/>
          <w:sz w:val="36"/>
          <w:szCs w:val="36"/>
          <w:highlight w:val="none"/>
          <w:lang w:val="en-US" w:eastAsia="zh-CN"/>
        </w:rPr>
        <w:t>中山市旭景工程咨询</w:t>
      </w:r>
      <w:r>
        <w:rPr>
          <w:rFonts w:hint="eastAsia" w:ascii="仿宋_GB2312" w:hAnsi="宋体" w:eastAsia="仿宋_GB2312" w:cs="Times New Roman"/>
          <w:b/>
          <w:color w:val="auto"/>
          <w:sz w:val="36"/>
          <w:szCs w:val="36"/>
          <w:highlight w:val="none"/>
        </w:rPr>
        <w:t>有限公司</w:t>
      </w:r>
    </w:p>
    <w:p>
      <w:pPr>
        <w:spacing w:line="600" w:lineRule="exact"/>
        <w:jc w:val="center"/>
        <w:rPr>
          <w:rFonts w:hint="eastAsia" w:ascii="仿宋_GB2312" w:hAnsi="宋体" w:eastAsia="仿宋_GB2312" w:cs="Times New Roman"/>
          <w:b/>
          <w:color w:val="auto"/>
          <w:sz w:val="28"/>
          <w:szCs w:val="28"/>
          <w:highlight w:val="none"/>
          <w:u w:val="single"/>
          <w:lang w:val="en-US" w:eastAsia="zh-CN"/>
        </w:rPr>
      </w:pPr>
      <w:r>
        <w:rPr>
          <w:rFonts w:hint="eastAsia" w:ascii="仿宋_GB2312" w:hAnsi="宋体" w:eastAsia="仿宋_GB2312" w:cs="Times New Roman"/>
          <w:b/>
          <w:color w:val="auto"/>
          <w:sz w:val="28"/>
          <w:szCs w:val="28"/>
          <w:highlight w:val="none"/>
          <w:u w:val="single"/>
          <w:lang w:val="en-US" w:eastAsia="zh-CN"/>
        </w:rPr>
        <w:t>公司地址：中山市石岐区东盛花园阳光花地紫华居7幢503房</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cs="Times New Roman"/>
          <w:b/>
          <w:color w:val="auto"/>
          <w:sz w:val="36"/>
          <w:szCs w:val="36"/>
          <w:highlight w:val="none"/>
        </w:rPr>
      </w:pPr>
    </w:p>
    <w:p>
      <w:pPr>
        <w:spacing w:line="560" w:lineRule="exact"/>
        <w:jc w:val="center"/>
        <w:rPr>
          <w:rFonts w:hint="eastAsia" w:ascii="黑体" w:eastAsia="黑体"/>
          <w:color w:val="auto"/>
          <w:sz w:val="44"/>
          <w:szCs w:val="44"/>
          <w:highlight w:val="none"/>
        </w:rPr>
      </w:pPr>
      <w:r>
        <w:rPr>
          <w:rFonts w:hint="eastAsia" w:ascii="黑体" w:eastAsia="黑体"/>
          <w:color w:val="auto"/>
          <w:sz w:val="44"/>
          <w:szCs w:val="44"/>
          <w:highlight w:val="none"/>
        </w:rPr>
        <w:t>编 制 说 明</w:t>
      </w:r>
    </w:p>
    <w:p>
      <w:pPr>
        <w:keepNext w:val="0"/>
        <w:keepLines w:val="0"/>
        <w:pageBreakBefore w:val="0"/>
        <w:numPr>
          <w:ilvl w:val="0"/>
          <w:numId w:val="1"/>
        </w:numPr>
        <w:tabs>
          <w:tab w:val="left" w:pos="753"/>
        </w:tabs>
        <w:kinsoku/>
        <w:wordWrap/>
        <w:overflowPunct/>
        <w:topLinePunct w:val="0"/>
        <w:autoSpaceDE/>
        <w:autoSpaceDN/>
        <w:bidi w:val="0"/>
        <w:adjustRightInd/>
        <w:snapToGrid/>
        <w:spacing w:line="580" w:lineRule="exact"/>
        <w:textAlignment w:val="auto"/>
        <w:rPr>
          <w:rFonts w:hint="eastAsia" w:ascii="黑体" w:hAnsi="Times New Roman" w:eastAsia="黑体" w:cs="Times New Roman"/>
          <w:b/>
          <w:color w:val="auto"/>
          <w:sz w:val="26"/>
          <w:szCs w:val="26"/>
          <w:highlight w:val="none"/>
        </w:rPr>
      </w:pPr>
      <w:r>
        <w:rPr>
          <w:rFonts w:hint="eastAsia" w:ascii="黑体" w:hAnsi="Times New Roman" w:eastAsia="黑体" w:cs="Times New Roman"/>
          <w:b/>
          <w:color w:val="auto"/>
          <w:sz w:val="26"/>
          <w:szCs w:val="26"/>
          <w:highlight w:val="none"/>
        </w:rPr>
        <w:t>建设单位：</w:t>
      </w:r>
      <w:r>
        <w:rPr>
          <w:rFonts w:hint="eastAsia" w:ascii="黑体" w:hAnsi="Times New Roman" w:eastAsia="黑体" w:cs="Times New Roman"/>
          <w:b/>
          <w:color w:val="auto"/>
          <w:sz w:val="26"/>
          <w:szCs w:val="26"/>
          <w:highlight w:val="none"/>
          <w:lang w:val="en-US" w:eastAsia="zh-CN"/>
        </w:rPr>
        <w:t>中山市石岐街道城市建设和管理局</w:t>
      </w:r>
    </w:p>
    <w:p>
      <w:pPr>
        <w:keepNext w:val="0"/>
        <w:keepLines w:val="0"/>
        <w:pageBreakBefore w:val="0"/>
        <w:numPr>
          <w:ilvl w:val="0"/>
          <w:numId w:val="1"/>
        </w:numPr>
        <w:tabs>
          <w:tab w:val="left" w:pos="753"/>
        </w:tabs>
        <w:kinsoku/>
        <w:wordWrap/>
        <w:overflowPunct/>
        <w:topLinePunct w:val="0"/>
        <w:autoSpaceDE/>
        <w:autoSpaceDN/>
        <w:bidi w:val="0"/>
        <w:adjustRightInd/>
        <w:snapToGrid/>
        <w:spacing w:line="580" w:lineRule="exact"/>
        <w:textAlignment w:val="auto"/>
        <w:rPr>
          <w:rFonts w:hint="eastAsia" w:ascii="黑体" w:hAnsi="Times New Roman" w:eastAsia="黑体" w:cs="Times New Roman"/>
          <w:b/>
          <w:color w:val="auto"/>
          <w:sz w:val="26"/>
          <w:szCs w:val="26"/>
          <w:highlight w:val="none"/>
          <w:lang w:val="en-US" w:eastAsia="zh-CN"/>
        </w:rPr>
      </w:pPr>
      <w:r>
        <w:rPr>
          <w:rFonts w:hint="eastAsia" w:ascii="黑体" w:hAnsi="Times New Roman" w:eastAsia="黑体" w:cs="Times New Roman"/>
          <w:b/>
          <w:color w:val="auto"/>
          <w:sz w:val="26"/>
          <w:szCs w:val="26"/>
          <w:highlight w:val="none"/>
          <w:lang w:val="en-US" w:eastAsia="zh-CN"/>
        </w:rPr>
        <w:t>设计单位：广东中山建筑设计院股份有限公司</w:t>
      </w:r>
    </w:p>
    <w:p>
      <w:pPr>
        <w:keepNext w:val="0"/>
        <w:keepLines w:val="0"/>
        <w:pageBreakBefore w:val="0"/>
        <w:numPr>
          <w:ilvl w:val="0"/>
          <w:numId w:val="1"/>
        </w:numPr>
        <w:tabs>
          <w:tab w:val="left" w:pos="753"/>
        </w:tabs>
        <w:kinsoku/>
        <w:wordWrap/>
        <w:overflowPunct/>
        <w:topLinePunct w:val="0"/>
        <w:autoSpaceDE/>
        <w:autoSpaceDN/>
        <w:bidi w:val="0"/>
        <w:adjustRightInd/>
        <w:snapToGrid/>
        <w:spacing w:line="580" w:lineRule="exact"/>
        <w:textAlignment w:val="auto"/>
        <w:rPr>
          <w:rFonts w:hint="eastAsia" w:ascii="黑体" w:hAnsi="Times New Roman" w:eastAsia="黑体" w:cs="Times New Roman"/>
          <w:b/>
          <w:color w:val="auto"/>
          <w:sz w:val="26"/>
          <w:szCs w:val="26"/>
          <w:highlight w:val="none"/>
          <w:lang w:val="en-US" w:eastAsia="zh-CN"/>
        </w:rPr>
      </w:pPr>
      <w:r>
        <w:rPr>
          <w:rFonts w:hint="eastAsia" w:ascii="黑体" w:hAnsi="Times New Roman" w:eastAsia="黑体" w:cs="Times New Roman"/>
          <w:b/>
          <w:color w:val="auto"/>
          <w:sz w:val="26"/>
          <w:szCs w:val="26"/>
          <w:highlight w:val="none"/>
          <w:lang w:val="en-US" w:eastAsia="zh-CN"/>
        </w:rPr>
        <w:t>编制单位：广东华禹工程咨询有限公司</w:t>
      </w:r>
    </w:p>
    <w:p>
      <w:pPr>
        <w:keepNext w:val="0"/>
        <w:keepLines w:val="0"/>
        <w:pageBreakBefore w:val="0"/>
        <w:numPr>
          <w:ilvl w:val="0"/>
          <w:numId w:val="1"/>
        </w:numPr>
        <w:tabs>
          <w:tab w:val="left" w:pos="753"/>
        </w:tabs>
        <w:kinsoku/>
        <w:wordWrap/>
        <w:overflowPunct/>
        <w:topLinePunct w:val="0"/>
        <w:autoSpaceDE/>
        <w:autoSpaceDN/>
        <w:bidi w:val="0"/>
        <w:adjustRightInd/>
        <w:snapToGrid/>
        <w:spacing w:line="580" w:lineRule="exact"/>
        <w:textAlignment w:val="auto"/>
        <w:rPr>
          <w:rFonts w:hint="eastAsia" w:ascii="黑体" w:hAnsi="Times New Roman" w:eastAsia="黑体" w:cs="Times New Roman"/>
          <w:b/>
          <w:color w:val="auto"/>
          <w:sz w:val="26"/>
          <w:szCs w:val="26"/>
          <w:highlight w:val="none"/>
        </w:rPr>
      </w:pPr>
      <w:r>
        <w:rPr>
          <w:rFonts w:hint="eastAsia" w:ascii="黑体" w:hAnsi="Times New Roman" w:eastAsia="黑体" w:cs="Times New Roman"/>
          <w:b/>
          <w:color w:val="auto"/>
          <w:sz w:val="26"/>
          <w:szCs w:val="26"/>
          <w:highlight w:val="none"/>
        </w:rPr>
        <w:t>审核单位：</w:t>
      </w:r>
      <w:r>
        <w:rPr>
          <w:rFonts w:hint="eastAsia" w:ascii="黑体" w:eastAsia="黑体"/>
          <w:b/>
          <w:color w:val="auto"/>
          <w:sz w:val="26"/>
          <w:szCs w:val="26"/>
          <w:highlight w:val="none"/>
          <w:lang w:val="en-US" w:eastAsia="zh-CN"/>
        </w:rPr>
        <w:t>中山市旭景工程咨询有限公司</w:t>
      </w:r>
    </w:p>
    <w:p>
      <w:pPr>
        <w:keepNext w:val="0"/>
        <w:keepLines w:val="0"/>
        <w:pageBreakBefore w:val="0"/>
        <w:numPr>
          <w:ilvl w:val="0"/>
          <w:numId w:val="1"/>
        </w:numPr>
        <w:tabs>
          <w:tab w:val="left" w:pos="753"/>
        </w:tabs>
        <w:kinsoku/>
        <w:wordWrap/>
        <w:overflowPunct/>
        <w:topLinePunct w:val="0"/>
        <w:autoSpaceDE/>
        <w:autoSpaceDN/>
        <w:bidi w:val="0"/>
        <w:adjustRightInd/>
        <w:snapToGrid/>
        <w:spacing w:line="580" w:lineRule="exact"/>
        <w:textAlignment w:val="auto"/>
        <w:rPr>
          <w:rFonts w:hint="eastAsia" w:ascii="黑体" w:hAnsi="Times New Roman" w:eastAsia="黑体" w:cs="Times New Roman"/>
          <w:b/>
          <w:color w:val="auto"/>
          <w:sz w:val="26"/>
          <w:szCs w:val="26"/>
          <w:highlight w:val="none"/>
          <w:lang w:val="en-US" w:eastAsia="zh-CN"/>
        </w:rPr>
      </w:pPr>
      <w:r>
        <w:rPr>
          <w:rFonts w:hint="eastAsia" w:ascii="黑体" w:hAnsi="Times New Roman" w:eastAsia="黑体" w:cs="Times New Roman"/>
          <w:b/>
          <w:color w:val="auto"/>
          <w:sz w:val="26"/>
          <w:szCs w:val="26"/>
          <w:highlight w:val="none"/>
        </w:rPr>
        <w:t>工程名称：伊电园数字经济基地及配套基础设施建设项目</w:t>
      </w:r>
    </w:p>
    <w:p>
      <w:pPr>
        <w:keepNext w:val="0"/>
        <w:keepLines w:val="0"/>
        <w:pageBreakBefore w:val="0"/>
        <w:widowControl w:val="0"/>
        <w:numPr>
          <w:ilvl w:val="0"/>
          <w:numId w:val="1"/>
        </w:numPr>
        <w:tabs>
          <w:tab w:val="left" w:pos="753"/>
        </w:tabs>
        <w:kinsoku/>
        <w:wordWrap/>
        <w:overflowPunct/>
        <w:topLinePunct w:val="0"/>
        <w:autoSpaceDE/>
        <w:autoSpaceDN/>
        <w:bidi w:val="0"/>
        <w:adjustRightInd/>
        <w:snapToGrid/>
        <w:spacing w:line="580" w:lineRule="exact"/>
        <w:ind w:left="70" w:leftChars="25" w:firstLine="0"/>
        <w:textAlignment w:val="auto"/>
        <w:rPr>
          <w:rFonts w:hint="eastAsia" w:ascii="仿宋_GB2312" w:hAnsi="Times New Roman" w:eastAsia="仿宋_GB2312" w:cs="Times New Roman"/>
          <w:color w:val="auto"/>
          <w:sz w:val="28"/>
          <w:highlight w:val="none"/>
          <w:lang w:eastAsia="zh-CN"/>
        </w:rPr>
      </w:pPr>
      <w:r>
        <w:rPr>
          <w:rFonts w:hint="eastAsia" w:ascii="黑体" w:hAnsi="Times New Roman" w:eastAsia="黑体" w:cs="Times New Roman"/>
          <w:b/>
          <w:color w:val="auto"/>
          <w:sz w:val="26"/>
          <w:szCs w:val="26"/>
          <w:highlight w:val="none"/>
          <w:lang w:val="en-US" w:eastAsia="zh-CN"/>
        </w:rPr>
        <w:t>工程概况：</w:t>
      </w:r>
      <w:r>
        <w:rPr>
          <w:rFonts w:hint="eastAsia" w:ascii="仿宋_GB2312" w:hAnsi="Times New Roman" w:eastAsia="仿宋_GB2312" w:cs="Times New Roman"/>
          <w:color w:val="auto"/>
          <w:sz w:val="28"/>
          <w:highlight w:val="none"/>
          <w:lang w:eastAsia="zh-CN"/>
        </w:rPr>
        <w:t>本项目建设地址位</w:t>
      </w:r>
      <w:r>
        <w:rPr>
          <w:rFonts w:hint="eastAsia" w:ascii="仿宋_GB2312" w:eastAsia="仿宋_GB2312" w:cs="Times New Roman"/>
          <w:color w:val="auto"/>
          <w:sz w:val="28"/>
          <w:highlight w:val="none"/>
          <w:lang w:val="en-US" w:eastAsia="zh-CN"/>
        </w:rPr>
        <w:t>于</w:t>
      </w:r>
      <w:r>
        <w:rPr>
          <w:rFonts w:hint="eastAsia" w:ascii="仿宋_GB2312" w:hAnsi="Times New Roman" w:eastAsia="仿宋_GB2312" w:cs="Times New Roman"/>
          <w:color w:val="auto"/>
          <w:sz w:val="28"/>
          <w:highlight w:val="none"/>
          <w:lang w:val="en-US" w:eastAsia="zh-CN"/>
        </w:rPr>
        <w:t>中山市东区富湾工业区</w:t>
      </w:r>
      <w:r>
        <w:rPr>
          <w:rFonts w:hint="eastAsia" w:ascii="仿宋_GB2312" w:hAnsi="Times New Roman" w:eastAsia="仿宋_GB2312" w:cs="Times New Roman"/>
          <w:color w:val="auto"/>
          <w:sz w:val="28"/>
          <w:highlight w:val="none"/>
          <w:lang w:eastAsia="zh-CN"/>
        </w:rPr>
        <w:t>。主要建设内容：</w:t>
      </w:r>
      <w:r>
        <w:rPr>
          <w:rFonts w:hint="eastAsia" w:ascii="仿宋_GB2312" w:hAnsi="Times New Roman" w:eastAsia="仿宋_GB2312" w:cs="Times New Roman"/>
          <w:color w:val="auto"/>
          <w:sz w:val="28"/>
          <w:highlight w:val="none"/>
          <w:lang w:val="en-US" w:eastAsia="zh-CN"/>
        </w:rPr>
        <w:t>新建一栋10层停车楼和厂房</w:t>
      </w:r>
      <w:r>
        <w:rPr>
          <w:rFonts w:hint="eastAsia" w:ascii="仿宋_GB2312" w:hAnsi="Times New Roman" w:eastAsia="仿宋_GB2312" w:cs="Times New Roman"/>
          <w:color w:val="auto"/>
          <w:sz w:val="28"/>
          <w:highlight w:val="none"/>
          <w:lang w:eastAsia="zh-CN"/>
        </w:rPr>
        <w:t>，总建筑面积为4</w:t>
      </w:r>
      <w:r>
        <w:rPr>
          <w:rFonts w:hint="eastAsia" w:ascii="仿宋_GB2312" w:hAnsi="Times New Roman" w:eastAsia="仿宋_GB2312" w:cs="Times New Roman"/>
          <w:color w:val="auto"/>
          <w:sz w:val="28"/>
          <w:highlight w:val="none"/>
          <w:lang w:val="en-US" w:eastAsia="zh-CN"/>
        </w:rPr>
        <w:t>6440.46m2</w:t>
      </w:r>
      <w:r>
        <w:rPr>
          <w:rFonts w:hint="eastAsia" w:ascii="仿宋_GB2312" w:hAnsi="Times New Roman" w:eastAsia="仿宋_GB2312" w:cs="Times New Roman"/>
          <w:color w:val="auto"/>
          <w:sz w:val="28"/>
          <w:highlight w:val="none"/>
          <w:lang w:eastAsia="zh-CN"/>
        </w:rPr>
        <w:t>。建设内容主要包括：</w:t>
      </w:r>
      <w:r>
        <w:rPr>
          <w:rFonts w:hint="eastAsia" w:ascii="仿宋_GB2312" w:hAnsi="Times New Roman" w:eastAsia="仿宋_GB2312" w:cs="Times New Roman"/>
          <w:color w:val="auto"/>
          <w:sz w:val="28"/>
          <w:highlight w:val="none"/>
          <w:lang w:val="en-US" w:eastAsia="zh-CN"/>
        </w:rPr>
        <w:t>土建工程、室内装修工程、安装工程、园建工程及室外配套工程等</w:t>
      </w:r>
      <w:r>
        <w:rPr>
          <w:rFonts w:hint="eastAsia" w:ascii="仿宋_GB2312" w:hAnsi="Times New Roman" w:eastAsia="仿宋_GB2312" w:cs="Times New Roman"/>
          <w:color w:val="auto"/>
          <w:sz w:val="28"/>
          <w:highlight w:val="none"/>
          <w:lang w:eastAsia="zh-CN"/>
        </w:rPr>
        <w:t>。概算批复情况：202</w:t>
      </w:r>
      <w:r>
        <w:rPr>
          <w:rFonts w:hint="eastAsia" w:ascii="仿宋_GB2312" w:hAnsi="Times New Roman" w:eastAsia="仿宋_GB2312" w:cs="Times New Roman"/>
          <w:color w:val="auto"/>
          <w:sz w:val="28"/>
          <w:highlight w:val="none"/>
          <w:lang w:val="en-US" w:eastAsia="zh-CN"/>
        </w:rPr>
        <w:t>3</w:t>
      </w:r>
      <w:r>
        <w:rPr>
          <w:rFonts w:hint="eastAsia" w:ascii="仿宋_GB2312" w:hAnsi="Times New Roman" w:eastAsia="仿宋_GB2312" w:cs="Times New Roman"/>
          <w:color w:val="auto"/>
          <w:sz w:val="28"/>
          <w:highlight w:val="none"/>
          <w:lang w:eastAsia="zh-CN"/>
        </w:rPr>
        <w:t>年</w:t>
      </w:r>
      <w:r>
        <w:rPr>
          <w:rFonts w:hint="eastAsia" w:ascii="仿宋_GB2312" w:hAnsi="Times New Roman" w:eastAsia="仿宋_GB2312" w:cs="Times New Roman"/>
          <w:color w:val="auto"/>
          <w:sz w:val="28"/>
          <w:highlight w:val="none"/>
          <w:lang w:val="en-US" w:eastAsia="zh-CN"/>
        </w:rPr>
        <w:t>10</w:t>
      </w:r>
      <w:r>
        <w:rPr>
          <w:rFonts w:hint="eastAsia" w:ascii="仿宋_GB2312" w:hAnsi="Times New Roman" w:eastAsia="仿宋_GB2312" w:cs="Times New Roman"/>
          <w:color w:val="auto"/>
          <w:sz w:val="28"/>
          <w:highlight w:val="none"/>
          <w:lang w:eastAsia="zh-CN"/>
        </w:rPr>
        <w:t>月</w:t>
      </w:r>
      <w:r>
        <w:rPr>
          <w:rFonts w:hint="eastAsia" w:ascii="仿宋_GB2312" w:hAnsi="Times New Roman" w:eastAsia="仿宋_GB2312" w:cs="Times New Roman"/>
          <w:color w:val="auto"/>
          <w:sz w:val="28"/>
          <w:highlight w:val="none"/>
          <w:lang w:val="en-US" w:eastAsia="zh-CN"/>
        </w:rPr>
        <w:t>10</w:t>
      </w:r>
      <w:r>
        <w:rPr>
          <w:rFonts w:hint="eastAsia" w:ascii="仿宋_GB2312" w:hAnsi="Times New Roman" w:eastAsia="仿宋_GB2312" w:cs="Times New Roman"/>
          <w:color w:val="auto"/>
          <w:sz w:val="28"/>
          <w:highlight w:val="none"/>
          <w:lang w:eastAsia="zh-CN"/>
        </w:rPr>
        <w:t>日，中山市发展和改革局以中发改</w:t>
      </w:r>
      <w:r>
        <w:rPr>
          <w:rFonts w:hint="eastAsia" w:ascii="仿宋_GB2312" w:hAnsi="Times New Roman" w:eastAsia="仿宋_GB2312" w:cs="Times New Roman"/>
          <w:color w:val="auto"/>
          <w:sz w:val="28"/>
          <w:highlight w:val="none"/>
          <w:lang w:val="en-US" w:eastAsia="zh-CN"/>
        </w:rPr>
        <w:t>石岐</w:t>
      </w:r>
      <w:r>
        <w:rPr>
          <w:rFonts w:hint="eastAsia" w:ascii="仿宋_GB2312" w:hAnsi="Times New Roman" w:eastAsia="仿宋_GB2312" w:cs="Times New Roman"/>
          <w:color w:val="auto"/>
          <w:sz w:val="28"/>
          <w:highlight w:val="none"/>
          <w:lang w:eastAsia="zh-CN"/>
        </w:rPr>
        <w:t>投审[202</w:t>
      </w:r>
      <w:r>
        <w:rPr>
          <w:rFonts w:hint="eastAsia" w:ascii="仿宋_GB2312" w:hAnsi="Times New Roman" w:eastAsia="仿宋_GB2312" w:cs="Times New Roman"/>
          <w:color w:val="auto"/>
          <w:sz w:val="28"/>
          <w:highlight w:val="none"/>
          <w:lang w:val="en-US" w:eastAsia="zh-CN"/>
        </w:rPr>
        <w:t>3</w:t>
      </w:r>
      <w:r>
        <w:rPr>
          <w:rFonts w:hint="eastAsia" w:ascii="仿宋_GB2312" w:hAnsi="Times New Roman" w:eastAsia="仿宋_GB2312" w:cs="Times New Roman"/>
          <w:color w:val="auto"/>
          <w:sz w:val="28"/>
          <w:highlight w:val="none"/>
          <w:lang w:eastAsia="zh-CN"/>
        </w:rPr>
        <w:t>]</w:t>
      </w:r>
      <w:r>
        <w:rPr>
          <w:rFonts w:hint="eastAsia" w:ascii="仿宋_GB2312" w:hAnsi="Times New Roman" w:eastAsia="仿宋_GB2312" w:cs="Times New Roman"/>
          <w:color w:val="auto"/>
          <w:sz w:val="28"/>
          <w:highlight w:val="none"/>
          <w:lang w:val="en-US" w:eastAsia="zh-CN"/>
        </w:rPr>
        <w:t>25</w:t>
      </w:r>
      <w:r>
        <w:rPr>
          <w:rFonts w:hint="eastAsia" w:ascii="仿宋_GB2312" w:hAnsi="Times New Roman" w:eastAsia="仿宋_GB2312" w:cs="Times New Roman"/>
          <w:color w:val="auto"/>
          <w:sz w:val="28"/>
          <w:highlight w:val="none"/>
          <w:lang w:eastAsia="zh-CN"/>
        </w:rPr>
        <w:t>号文审批伊电园数字经济基地及配套基础设施建设项目，项目总投资为</w:t>
      </w:r>
      <w:r>
        <w:rPr>
          <w:rFonts w:hint="eastAsia" w:ascii="仿宋_GB2312" w:hAnsi="Times New Roman" w:eastAsia="仿宋_GB2312" w:cs="Times New Roman"/>
          <w:color w:val="auto"/>
          <w:sz w:val="28"/>
          <w:highlight w:val="none"/>
          <w:lang w:val="en-US" w:eastAsia="zh-CN"/>
        </w:rPr>
        <w:t>16737.53</w:t>
      </w:r>
      <w:r>
        <w:rPr>
          <w:rFonts w:hint="eastAsia" w:ascii="仿宋_GB2312" w:hAnsi="Times New Roman" w:eastAsia="仿宋_GB2312" w:cs="Times New Roman"/>
          <w:color w:val="auto"/>
          <w:sz w:val="28"/>
          <w:highlight w:val="none"/>
          <w:lang w:eastAsia="zh-CN"/>
        </w:rPr>
        <w:t>万元，</w:t>
      </w:r>
      <w:r>
        <w:rPr>
          <w:rFonts w:hint="eastAsia" w:ascii="仿宋_GB2312" w:hAnsi="Times New Roman" w:eastAsia="仿宋_GB2312" w:cs="Times New Roman"/>
          <w:color w:val="auto"/>
          <w:sz w:val="28"/>
          <w:highlight w:val="none"/>
          <w:lang w:val="en-US" w:eastAsia="zh-CN"/>
        </w:rPr>
        <w:t>其中建安工程费13750.70万元。</w:t>
      </w:r>
      <w:r>
        <w:rPr>
          <w:rFonts w:hint="eastAsia" w:ascii="仿宋_GB2312" w:hAnsi="Times New Roman" w:eastAsia="仿宋_GB2312" w:cs="Times New Roman"/>
          <w:color w:val="auto"/>
          <w:sz w:val="28"/>
          <w:highlight w:val="none"/>
          <w:lang w:eastAsia="zh-CN"/>
        </w:rPr>
        <w:t>建设所需资金由</w:t>
      </w:r>
      <w:r>
        <w:rPr>
          <w:rFonts w:hint="eastAsia" w:ascii="仿宋_GB2312" w:hAnsi="Times New Roman" w:eastAsia="仿宋_GB2312" w:cs="Times New Roman"/>
          <w:color w:val="auto"/>
          <w:sz w:val="28"/>
          <w:highlight w:val="none"/>
          <w:lang w:val="en-US" w:eastAsia="zh-CN"/>
        </w:rPr>
        <w:t>石岐街道</w:t>
      </w:r>
      <w:r>
        <w:rPr>
          <w:rFonts w:hint="eastAsia" w:ascii="仿宋_GB2312" w:hAnsi="Times New Roman" w:eastAsia="仿宋_GB2312" w:cs="Times New Roman"/>
          <w:color w:val="auto"/>
          <w:sz w:val="28"/>
          <w:highlight w:val="none"/>
          <w:lang w:eastAsia="zh-CN"/>
        </w:rPr>
        <w:t>财政解决。</w:t>
      </w:r>
    </w:p>
    <w:p>
      <w:pPr>
        <w:keepNext w:val="0"/>
        <w:keepLines w:val="0"/>
        <w:pageBreakBefore w:val="0"/>
        <w:numPr>
          <w:ilvl w:val="0"/>
          <w:numId w:val="1"/>
        </w:numPr>
        <w:tabs>
          <w:tab w:val="left" w:pos="753"/>
        </w:tabs>
        <w:kinsoku/>
        <w:wordWrap/>
        <w:overflowPunct/>
        <w:topLinePunct w:val="0"/>
        <w:autoSpaceDE/>
        <w:autoSpaceDN/>
        <w:bidi w:val="0"/>
        <w:adjustRightInd/>
        <w:snapToGrid/>
        <w:spacing w:line="580" w:lineRule="exact"/>
        <w:textAlignment w:val="auto"/>
        <w:rPr>
          <w:rFonts w:hint="eastAsia" w:ascii="黑体" w:eastAsia="黑体"/>
          <w:b w:val="0"/>
          <w:bCs/>
          <w:color w:val="auto"/>
          <w:sz w:val="26"/>
          <w:szCs w:val="26"/>
          <w:highlight w:val="none"/>
        </w:rPr>
      </w:pPr>
      <w:r>
        <w:rPr>
          <w:rFonts w:hint="eastAsia" w:ascii="黑体" w:eastAsia="黑体"/>
          <w:b/>
          <w:color w:val="auto"/>
          <w:sz w:val="26"/>
          <w:szCs w:val="26"/>
          <w:highlight w:val="none"/>
        </w:rPr>
        <w:t>报告</w:t>
      </w:r>
      <w:r>
        <w:rPr>
          <w:rFonts w:hint="eastAsia" w:ascii="黑体" w:eastAsia="黑体"/>
          <w:b/>
          <w:color w:val="auto"/>
          <w:sz w:val="26"/>
          <w:szCs w:val="26"/>
          <w:highlight w:val="none"/>
          <w:lang w:val="en-US" w:eastAsia="zh-CN"/>
        </w:rPr>
        <w:t>类型</w:t>
      </w:r>
      <w:r>
        <w:rPr>
          <w:rFonts w:hint="eastAsia" w:ascii="黑体" w:eastAsia="黑体"/>
          <w:b/>
          <w:color w:val="auto"/>
          <w:sz w:val="26"/>
          <w:szCs w:val="26"/>
          <w:highlight w:val="none"/>
        </w:rPr>
        <w:t>：</w:t>
      </w:r>
      <w:r>
        <w:rPr>
          <w:rFonts w:hint="eastAsia" w:ascii="黑体" w:eastAsia="黑体"/>
          <w:b w:val="0"/>
          <w:bCs/>
          <w:color w:val="auto"/>
          <w:sz w:val="26"/>
          <w:szCs w:val="26"/>
          <w:highlight w:val="none"/>
          <w:lang w:val="en-US" w:eastAsia="zh-CN"/>
        </w:rPr>
        <w:t>中介预算审核报告</w:t>
      </w:r>
    </w:p>
    <w:p>
      <w:pPr>
        <w:pStyle w:val="5"/>
        <w:keepNext w:val="0"/>
        <w:keepLines w:val="0"/>
        <w:widowControl/>
        <w:suppressLineNumbers w:val="0"/>
        <w:spacing w:before="0" w:beforeAutospacing="0" w:after="0" w:afterAutospacing="0"/>
        <w:ind w:right="0"/>
        <w:jc w:val="both"/>
        <w:rPr>
          <w:rFonts w:hint="default" w:ascii="仿宋_GB2312" w:hAnsi="Times New Roman" w:eastAsia="仿宋_GB2312" w:cs="Times New Roman"/>
          <w:b w:val="0"/>
          <w:bCs/>
          <w:color w:val="auto"/>
          <w:kern w:val="2"/>
          <w:sz w:val="28"/>
          <w:highlight w:val="none"/>
          <w:lang w:val="en-US" w:eastAsia="zh-CN" w:bidi="ar-SA"/>
        </w:rPr>
      </w:pPr>
      <w:bookmarkStart w:id="1" w:name="_GoBack"/>
      <w:bookmarkEnd w:id="1"/>
      <w:r>
        <w:rPr>
          <w:rFonts w:hint="eastAsia" w:ascii="黑体" w:eastAsia="黑体"/>
          <w:b w:val="0"/>
          <w:bCs/>
          <w:color w:val="auto"/>
          <w:sz w:val="26"/>
          <w:szCs w:val="26"/>
          <w:highlight w:val="none"/>
          <w:lang w:val="en-US" w:eastAsia="zh-CN"/>
        </w:rPr>
        <w:t>预算</w:t>
      </w:r>
      <w:r>
        <w:rPr>
          <w:rFonts w:hint="eastAsia" w:ascii="黑体" w:eastAsia="黑体"/>
          <w:b w:val="0"/>
          <w:bCs/>
          <w:color w:val="auto"/>
          <w:sz w:val="26"/>
          <w:szCs w:val="26"/>
          <w:highlight w:val="none"/>
        </w:rPr>
        <w:t>造价：</w:t>
      </w:r>
      <w:r>
        <w:rPr>
          <w:rFonts w:hint="eastAsia" w:ascii="仿宋_GB2312" w:hAnsi="Times New Roman" w:eastAsia="仿宋_GB2312" w:cs="Times New Roman"/>
          <w:b/>
          <w:bCs w:val="0"/>
          <w:color w:val="auto"/>
          <w:kern w:val="2"/>
          <w:sz w:val="28"/>
          <w:highlight w:val="none"/>
          <w:u w:val="single"/>
          <w:lang w:val="en-US" w:eastAsia="zh-CN" w:bidi="ar-SA"/>
        </w:rPr>
        <w:t>12</w:t>
      </w:r>
      <w:r>
        <w:rPr>
          <w:rFonts w:hint="eastAsia" w:ascii="仿宋_GB2312" w:eastAsia="仿宋_GB2312" w:cs="Times New Roman"/>
          <w:b/>
          <w:bCs w:val="0"/>
          <w:color w:val="auto"/>
          <w:kern w:val="2"/>
          <w:sz w:val="28"/>
          <w:highlight w:val="none"/>
          <w:u w:val="single"/>
          <w:lang w:val="en-US" w:eastAsia="zh-CN" w:bidi="ar-SA"/>
        </w:rPr>
        <w:t>0725978.01</w:t>
      </w:r>
      <w:r>
        <w:rPr>
          <w:rFonts w:hint="eastAsia" w:ascii="仿宋_GB2312" w:hAnsi="Times New Roman" w:eastAsia="仿宋_GB2312" w:cs="Times New Roman"/>
          <w:b/>
          <w:bCs w:val="0"/>
          <w:color w:val="auto"/>
          <w:kern w:val="2"/>
          <w:sz w:val="28"/>
          <w:highlight w:val="none"/>
          <w:lang w:val="en-US" w:eastAsia="zh-CN" w:bidi="ar-SA"/>
        </w:rPr>
        <w:t>元，（大写）人民币：</w:t>
      </w:r>
      <w:r>
        <w:rPr>
          <w:rFonts w:hint="eastAsia" w:ascii="仿宋_GB2312" w:hAnsi="Times New Roman" w:eastAsia="仿宋_GB2312" w:cs="Times New Roman"/>
          <w:b/>
          <w:bCs w:val="0"/>
          <w:color w:val="auto"/>
          <w:kern w:val="2"/>
          <w:sz w:val="28"/>
          <w:highlight w:val="none"/>
          <w:u w:val="single"/>
          <w:lang w:val="en-US" w:eastAsia="zh-CN" w:bidi="ar-SA"/>
        </w:rPr>
        <w:t>壹亿贰仟零柒拾贰万伍仟玖佰柒拾捌元零壹分</w:t>
      </w:r>
      <w:r>
        <w:rPr>
          <w:rFonts w:hint="eastAsia" w:ascii="仿宋_GB2312" w:hAnsi="Times New Roman" w:eastAsia="仿宋_GB2312" w:cs="Times New Roman"/>
          <w:b/>
          <w:bCs w:val="0"/>
          <w:color w:val="auto"/>
          <w:kern w:val="2"/>
          <w:sz w:val="28"/>
          <w:highlight w:val="none"/>
          <w:lang w:val="en-US" w:eastAsia="zh-CN" w:bidi="ar-SA"/>
        </w:rPr>
        <w:t>，其中绿色施工安全措施费</w:t>
      </w:r>
      <w:r>
        <w:rPr>
          <w:rFonts w:hint="eastAsia" w:ascii="仿宋_GB2312" w:hAnsi="Times New Roman" w:eastAsia="仿宋_GB2312" w:cs="Times New Roman"/>
          <w:b/>
          <w:bCs w:val="0"/>
          <w:color w:val="auto"/>
          <w:kern w:val="2"/>
          <w:sz w:val="28"/>
          <w:highlight w:val="none"/>
          <w:u w:val="single"/>
          <w:lang w:val="en-US" w:eastAsia="zh-CN" w:bidi="ar-SA"/>
        </w:rPr>
        <w:t>7,199,720.28</w:t>
      </w:r>
      <w:r>
        <w:rPr>
          <w:rFonts w:hint="eastAsia" w:ascii="仿宋_GB2312" w:hAnsi="Times New Roman" w:eastAsia="仿宋_GB2312" w:cs="Times New Roman"/>
          <w:b/>
          <w:bCs w:val="0"/>
          <w:color w:val="auto"/>
          <w:kern w:val="2"/>
          <w:sz w:val="28"/>
          <w:highlight w:val="none"/>
          <w:lang w:val="en-US" w:eastAsia="zh-CN" w:bidi="ar-SA"/>
        </w:rPr>
        <w:t>元；</w:t>
      </w:r>
    </w:p>
    <w:p>
      <w:pPr>
        <w:keepNext w:val="0"/>
        <w:keepLines w:val="0"/>
        <w:pageBreakBefore w:val="0"/>
        <w:numPr>
          <w:ilvl w:val="0"/>
          <w:numId w:val="1"/>
        </w:numPr>
        <w:tabs>
          <w:tab w:val="left" w:pos="753"/>
        </w:tabs>
        <w:kinsoku/>
        <w:wordWrap/>
        <w:overflowPunct/>
        <w:topLinePunct w:val="0"/>
        <w:autoSpaceDE/>
        <w:autoSpaceDN/>
        <w:bidi w:val="0"/>
        <w:adjustRightInd/>
        <w:snapToGrid/>
        <w:spacing w:line="580" w:lineRule="exact"/>
        <w:textAlignment w:val="auto"/>
        <w:rPr>
          <w:rFonts w:hint="eastAsia" w:ascii="黑体" w:eastAsia="黑体"/>
          <w:b/>
          <w:color w:val="auto"/>
          <w:sz w:val="26"/>
          <w:szCs w:val="26"/>
          <w:highlight w:val="none"/>
        </w:rPr>
      </w:pPr>
      <w:r>
        <w:rPr>
          <w:rFonts w:hint="eastAsia" w:ascii="黑体" w:eastAsia="黑体"/>
          <w:b/>
          <w:color w:val="auto"/>
          <w:sz w:val="26"/>
          <w:szCs w:val="26"/>
          <w:highlight w:val="none"/>
        </w:rPr>
        <w:t>编制依据及说明：</w:t>
      </w:r>
    </w:p>
    <w:p>
      <w:pPr>
        <w:autoSpaceDE w:val="0"/>
        <w:autoSpaceDN w:val="0"/>
        <w:adjustRightInd w:val="0"/>
        <w:spacing w:line="540" w:lineRule="exact"/>
        <w:ind w:firstLine="560" w:firstLineChars="200"/>
        <w:jc w:val="left"/>
        <w:rPr>
          <w:rFonts w:hint="eastAsia" w:ascii="仿宋_GB2312" w:eastAsia="仿宋_GB2312"/>
          <w:color w:val="auto"/>
          <w:sz w:val="28"/>
          <w:highlight w:val="none"/>
        </w:rPr>
      </w:pPr>
      <w:r>
        <w:rPr>
          <w:rFonts w:hint="eastAsia" w:ascii="仿宋_GB2312" w:eastAsia="仿宋_GB2312"/>
          <w:color w:val="auto"/>
          <w:sz w:val="28"/>
          <w:highlight w:val="none"/>
        </w:rPr>
        <w:t>1、依据广东中山建筑设计院股份有限公司202</w:t>
      </w:r>
      <w:r>
        <w:rPr>
          <w:rFonts w:hint="eastAsia" w:ascii="仿宋_GB2312" w:eastAsia="仿宋_GB2312"/>
          <w:color w:val="auto"/>
          <w:sz w:val="28"/>
          <w:highlight w:val="none"/>
          <w:lang w:val="en-US" w:eastAsia="zh-CN"/>
        </w:rPr>
        <w:t>3</w:t>
      </w:r>
      <w:r>
        <w:rPr>
          <w:rFonts w:hint="eastAsia" w:ascii="仿宋_GB2312" w:eastAsia="仿宋_GB2312"/>
          <w:color w:val="auto"/>
          <w:sz w:val="28"/>
          <w:highlight w:val="none"/>
        </w:rPr>
        <w:t>年</w:t>
      </w:r>
      <w:r>
        <w:rPr>
          <w:rFonts w:hint="eastAsia" w:ascii="仿宋_GB2312" w:eastAsia="仿宋_GB2312"/>
          <w:color w:val="auto"/>
          <w:sz w:val="28"/>
          <w:highlight w:val="none"/>
          <w:lang w:val="en-US" w:eastAsia="zh-CN"/>
        </w:rPr>
        <w:t>10</w:t>
      </w:r>
      <w:r>
        <w:rPr>
          <w:rFonts w:hint="eastAsia" w:ascii="仿宋_GB2312" w:eastAsia="仿宋_GB2312"/>
          <w:color w:val="auto"/>
          <w:sz w:val="28"/>
          <w:highlight w:val="none"/>
        </w:rPr>
        <w:t>月设计的《</w:t>
      </w:r>
      <w:r>
        <w:rPr>
          <w:rFonts w:hint="eastAsia" w:ascii="仿宋_GB2312" w:hAnsi="Times New Roman" w:eastAsia="仿宋_GB2312" w:cs="Times New Roman"/>
          <w:color w:val="auto"/>
          <w:sz w:val="28"/>
          <w:highlight w:val="none"/>
        </w:rPr>
        <w:t>伊电园数字经济基地及配套基础设施建设项目</w:t>
      </w:r>
      <w:r>
        <w:rPr>
          <w:rFonts w:hint="eastAsia" w:ascii="仿宋_GB2312" w:hAnsi="Times New Roman" w:eastAsia="仿宋_GB2312" w:cs="Times New Roman"/>
          <w:color w:val="auto"/>
          <w:sz w:val="28"/>
          <w:highlight w:val="none"/>
          <w:lang w:val="en-US" w:eastAsia="zh-CN"/>
        </w:rPr>
        <w:t>土建、安装、精装修及室外园建、安装</w:t>
      </w:r>
      <w:r>
        <w:rPr>
          <w:rFonts w:hint="eastAsia" w:ascii="仿宋_GB2312" w:eastAsia="仿宋_GB2312"/>
          <w:color w:val="auto"/>
          <w:sz w:val="28"/>
          <w:highlight w:val="none"/>
          <w:lang w:eastAsia="zh-CN"/>
        </w:rPr>
        <w:t>》</w:t>
      </w:r>
      <w:r>
        <w:rPr>
          <w:rFonts w:hint="eastAsia" w:ascii="仿宋_GB2312" w:eastAsia="仿宋_GB2312"/>
          <w:color w:val="auto"/>
          <w:sz w:val="28"/>
          <w:highlight w:val="none"/>
        </w:rPr>
        <w:t>等设计图纸、设计回复联系单等计算。</w:t>
      </w:r>
    </w:p>
    <w:p>
      <w:pPr>
        <w:autoSpaceDE w:val="0"/>
        <w:autoSpaceDN w:val="0"/>
        <w:adjustRightInd w:val="0"/>
        <w:spacing w:line="540" w:lineRule="exact"/>
        <w:ind w:firstLine="560" w:firstLineChars="200"/>
        <w:rPr>
          <w:rFonts w:hint="eastAsia" w:ascii="仿宋_GB2312" w:eastAsia="仿宋_GB2312"/>
          <w:color w:val="auto"/>
          <w:sz w:val="28"/>
          <w:highlight w:val="none"/>
        </w:rPr>
      </w:pPr>
      <w:r>
        <w:rPr>
          <w:rFonts w:hint="eastAsia" w:ascii="仿宋_GB2312" w:eastAsia="仿宋_GB2312"/>
          <w:color w:val="auto"/>
          <w:sz w:val="28"/>
          <w:highlight w:val="none"/>
        </w:rPr>
        <w:t>2、</w:t>
      </w:r>
      <w:r>
        <w:rPr>
          <w:rFonts w:hint="eastAsia" w:ascii="仿宋_GB2312" w:eastAsia="仿宋_GB2312"/>
          <w:bCs/>
          <w:color w:val="auto"/>
          <w:sz w:val="28"/>
          <w:highlight w:val="none"/>
        </w:rPr>
        <w:t>本工程按国家标准《建设工程工程量清单计价规范》（</w:t>
      </w:r>
      <w:r>
        <w:rPr>
          <w:rFonts w:ascii="仿宋_GB2312" w:eastAsia="仿宋_GB2312"/>
          <w:bCs/>
          <w:color w:val="auto"/>
          <w:sz w:val="28"/>
          <w:highlight w:val="none"/>
        </w:rPr>
        <w:t>GB50500-2013</w:t>
      </w:r>
      <w:r>
        <w:rPr>
          <w:rFonts w:hint="eastAsia" w:ascii="仿宋_GB2312" w:eastAsia="仿宋_GB2312"/>
          <w:bCs/>
          <w:color w:val="auto"/>
          <w:sz w:val="28"/>
          <w:highlight w:val="none"/>
        </w:rPr>
        <w:t>）和配套的《广东省房屋建筑与装饰工程综合定额</w:t>
      </w:r>
      <w:r>
        <w:rPr>
          <w:rFonts w:ascii="仿宋_GB2312" w:eastAsia="仿宋_GB2312"/>
          <w:bCs/>
          <w:color w:val="auto"/>
          <w:sz w:val="28"/>
          <w:highlight w:val="none"/>
        </w:rPr>
        <w:t>201</w:t>
      </w:r>
      <w:r>
        <w:rPr>
          <w:rFonts w:hint="eastAsia" w:ascii="仿宋_GB2312" w:eastAsia="仿宋_GB2312"/>
          <w:bCs/>
          <w:color w:val="auto"/>
          <w:sz w:val="28"/>
          <w:highlight w:val="none"/>
        </w:rPr>
        <w:t>8》、《广东省通用安装工程综合定额</w:t>
      </w:r>
      <w:r>
        <w:rPr>
          <w:rFonts w:ascii="仿宋_GB2312" w:eastAsia="仿宋_GB2312"/>
          <w:bCs/>
          <w:color w:val="auto"/>
          <w:sz w:val="28"/>
          <w:highlight w:val="none"/>
        </w:rPr>
        <w:t>201</w:t>
      </w:r>
      <w:r>
        <w:rPr>
          <w:rFonts w:hint="eastAsia" w:ascii="仿宋_GB2312" w:eastAsia="仿宋_GB2312"/>
          <w:bCs/>
          <w:color w:val="auto"/>
          <w:sz w:val="28"/>
          <w:highlight w:val="none"/>
        </w:rPr>
        <w:t>8》、《广东省市政工程综合定额</w:t>
      </w:r>
      <w:r>
        <w:rPr>
          <w:rFonts w:ascii="仿宋_GB2312" w:eastAsia="仿宋_GB2312"/>
          <w:bCs/>
          <w:color w:val="auto"/>
          <w:sz w:val="28"/>
          <w:highlight w:val="none"/>
        </w:rPr>
        <w:t>201</w:t>
      </w:r>
      <w:r>
        <w:rPr>
          <w:rFonts w:hint="eastAsia" w:ascii="仿宋_GB2312" w:eastAsia="仿宋_GB2312"/>
          <w:bCs/>
          <w:color w:val="auto"/>
          <w:sz w:val="28"/>
          <w:highlight w:val="none"/>
        </w:rPr>
        <w:t>8》、《广东省园林绿化工程综合定额</w:t>
      </w:r>
      <w:r>
        <w:rPr>
          <w:rFonts w:ascii="仿宋_GB2312" w:eastAsia="仿宋_GB2312"/>
          <w:bCs/>
          <w:color w:val="auto"/>
          <w:sz w:val="28"/>
          <w:highlight w:val="none"/>
        </w:rPr>
        <w:t>201</w:t>
      </w:r>
      <w:r>
        <w:rPr>
          <w:rFonts w:hint="eastAsia" w:ascii="仿宋_GB2312" w:eastAsia="仿宋_GB2312"/>
          <w:bCs/>
          <w:color w:val="auto"/>
          <w:sz w:val="28"/>
          <w:highlight w:val="none"/>
        </w:rPr>
        <w:t>8》</w:t>
      </w:r>
      <w:r>
        <w:rPr>
          <w:rFonts w:hint="eastAsia" w:ascii="仿宋_GB2312" w:eastAsia="仿宋_GB2312"/>
          <w:color w:val="auto"/>
          <w:sz w:val="28"/>
          <w:highlight w:val="none"/>
        </w:rPr>
        <w:t>及相应计费程式计取费用，执行粤建市函[2016]1113号文件。中山市动态人工调整系数为1，人工费按定额执行。</w:t>
      </w:r>
    </w:p>
    <w:p>
      <w:pPr>
        <w:autoSpaceDE w:val="0"/>
        <w:autoSpaceDN w:val="0"/>
        <w:adjustRightInd w:val="0"/>
        <w:spacing w:line="540" w:lineRule="exact"/>
        <w:ind w:firstLine="560" w:firstLineChars="200"/>
        <w:rPr>
          <w:rFonts w:hint="eastAsia" w:ascii="仿宋_GB2312" w:hAnsi="新宋体" w:eastAsia="仿宋_GB2312"/>
          <w:color w:val="auto"/>
          <w:sz w:val="28"/>
          <w:highlight w:val="none"/>
        </w:rPr>
      </w:pPr>
      <w:r>
        <w:rPr>
          <w:rFonts w:hint="eastAsia" w:ascii="仿宋_GB2312" w:eastAsia="仿宋_GB2312"/>
          <w:color w:val="auto"/>
          <w:sz w:val="28"/>
          <w:highlight w:val="none"/>
        </w:rPr>
        <w:t>3、</w:t>
      </w:r>
      <w:r>
        <w:rPr>
          <w:rFonts w:hint="eastAsia" w:ascii="仿宋_GB2312" w:hAnsi="新宋体" w:eastAsia="仿宋_GB2312"/>
          <w:color w:val="auto"/>
          <w:sz w:val="28"/>
          <w:highlight w:val="none"/>
        </w:rPr>
        <w:t>绿色施工安全防护措施费，土建工程按分部分项费的人工费与施工机具费之和的19%计算，安装工程按分部分项费的人工费与施工机具费之和的35.77%计算，园建工程按分部分项费的人工费与施工机具费之和的</w:t>
      </w:r>
      <w:r>
        <w:rPr>
          <w:rFonts w:hint="eastAsia" w:ascii="仿宋_GB2312" w:hAnsi="新宋体" w:eastAsia="仿宋_GB2312"/>
          <w:color w:val="auto"/>
          <w:sz w:val="28"/>
          <w:highlight w:val="none"/>
          <w:lang w:val="en-US" w:eastAsia="zh-CN"/>
        </w:rPr>
        <w:t>16.5</w:t>
      </w:r>
      <w:r>
        <w:rPr>
          <w:rFonts w:hint="eastAsia" w:ascii="仿宋_GB2312" w:hAnsi="新宋体" w:eastAsia="仿宋_GB2312"/>
          <w:color w:val="auto"/>
          <w:sz w:val="28"/>
          <w:highlight w:val="none"/>
        </w:rPr>
        <w:t>0%计算，绿化工程按分部分项费的人工费与施工机具费之和的10%计算；文明工地增加费、夜间施工增加费及赶工措施费，预算中均不考虑。</w:t>
      </w:r>
    </w:p>
    <w:p>
      <w:pPr>
        <w:autoSpaceDE w:val="0"/>
        <w:autoSpaceDN w:val="0"/>
        <w:adjustRightInd w:val="0"/>
        <w:spacing w:line="540" w:lineRule="exact"/>
        <w:ind w:firstLine="560" w:firstLineChars="200"/>
        <w:rPr>
          <w:rFonts w:hint="eastAsia" w:ascii="仿宋_GB2312" w:eastAsia="仿宋_GB2312"/>
          <w:color w:val="auto"/>
          <w:sz w:val="28"/>
          <w:highlight w:val="none"/>
        </w:rPr>
      </w:pPr>
      <w:r>
        <w:rPr>
          <w:rFonts w:hint="eastAsia" w:ascii="仿宋_GB2312" w:eastAsia="仿宋_GB2312"/>
          <w:color w:val="auto"/>
          <w:sz w:val="28"/>
          <w:highlight w:val="none"/>
        </w:rPr>
        <w:t xml:space="preserve">4、预算包干费，土建工程按分部分项费的人工费与施工机具费之和的7%计算，安装工程按分部分项费的人工费与施工机具费之和的10%计算；园建工程按分部分项费的人工费与施工机具费之和的6%计算，市政工程按分部分项费的人工费与施工机具费之和的6%计算，绿化工程按分部分项费的人工费与施工机具费之和的6%计算。 </w:t>
      </w:r>
    </w:p>
    <w:p>
      <w:pPr>
        <w:autoSpaceDE w:val="0"/>
        <w:autoSpaceDN w:val="0"/>
        <w:adjustRightInd w:val="0"/>
        <w:spacing w:line="540" w:lineRule="exact"/>
        <w:ind w:firstLine="560" w:firstLineChars="200"/>
        <w:rPr>
          <w:rFonts w:hint="eastAsia" w:ascii="仿宋_GB2312" w:eastAsia="仿宋_GB2312"/>
          <w:color w:val="auto"/>
          <w:sz w:val="28"/>
          <w:highlight w:val="none"/>
        </w:rPr>
      </w:pPr>
      <w:r>
        <w:rPr>
          <w:rFonts w:hint="eastAsia" w:ascii="仿宋_GB2312" w:eastAsia="仿宋_GB2312"/>
          <w:color w:val="auto"/>
          <w:sz w:val="28"/>
          <w:highlight w:val="none"/>
        </w:rPr>
        <w:t>5、材料价格按202</w:t>
      </w:r>
      <w:r>
        <w:rPr>
          <w:rFonts w:hint="eastAsia" w:ascii="仿宋_GB2312" w:eastAsia="仿宋_GB2312"/>
          <w:color w:val="auto"/>
          <w:sz w:val="28"/>
          <w:highlight w:val="none"/>
          <w:lang w:val="en-US" w:eastAsia="zh-CN"/>
        </w:rPr>
        <w:t>3</w:t>
      </w:r>
      <w:r>
        <w:rPr>
          <w:rFonts w:hint="eastAsia" w:ascii="仿宋_GB2312" w:eastAsia="仿宋_GB2312"/>
          <w:color w:val="auto"/>
          <w:sz w:val="28"/>
          <w:highlight w:val="none"/>
        </w:rPr>
        <w:t>年8月份《中山市建设工程常用材料综合价》的主要材料价格，执行中财投审[2013]1号文件规定：</w:t>
      </w:r>
    </w:p>
    <w:p>
      <w:pPr>
        <w:autoSpaceDE w:val="0"/>
        <w:autoSpaceDN w:val="0"/>
        <w:adjustRightInd w:val="0"/>
        <w:spacing w:line="540" w:lineRule="exact"/>
        <w:ind w:firstLine="560" w:firstLineChars="200"/>
        <w:rPr>
          <w:rFonts w:hint="eastAsia" w:ascii="仿宋_GB2312" w:eastAsia="仿宋_GB2312"/>
          <w:color w:val="auto"/>
          <w:sz w:val="28"/>
          <w:highlight w:val="none"/>
        </w:rPr>
      </w:pPr>
      <w:r>
        <w:rPr>
          <w:rFonts w:hint="eastAsia" w:ascii="仿宋_GB2312" w:eastAsia="仿宋_GB2312"/>
          <w:color w:val="auto"/>
          <w:sz w:val="28"/>
          <w:highlight w:val="none"/>
        </w:rPr>
        <w:t>（5.1）市级财政性资金投资项目的工程造价确定，其主要材料价格计价依据执行中山市住房和城乡建设局政务网同期最新公布的《中山市建设工程常用材料综合价》中的材料信息价；</w:t>
      </w:r>
    </w:p>
    <w:p>
      <w:pPr>
        <w:autoSpaceDE w:val="0"/>
        <w:autoSpaceDN w:val="0"/>
        <w:adjustRightInd w:val="0"/>
        <w:spacing w:line="540" w:lineRule="exact"/>
        <w:ind w:firstLine="560" w:firstLineChars="200"/>
        <w:rPr>
          <w:rFonts w:hint="eastAsia" w:ascii="仿宋_GB2312" w:eastAsia="仿宋_GB2312"/>
          <w:color w:val="auto"/>
          <w:sz w:val="28"/>
          <w:highlight w:val="none"/>
        </w:rPr>
      </w:pPr>
      <w:r>
        <w:rPr>
          <w:rFonts w:hint="eastAsia" w:ascii="仿宋_GB2312" w:eastAsia="仿宋_GB2312"/>
          <w:color w:val="auto"/>
          <w:sz w:val="28"/>
          <w:highlight w:val="none"/>
        </w:rPr>
        <w:t>（5.2）如《中山市建设工程常用材料综合价》中公布材料信息价缺项，但周边城市建设主管部门公布的材料信息价有列项的，则执行周边城市公布的材料信息价，周边不同城市所公布材料信息价差异较大的，原则按各城市公布价的平均价执行；</w:t>
      </w:r>
    </w:p>
    <w:p>
      <w:pPr>
        <w:autoSpaceDE w:val="0"/>
        <w:autoSpaceDN w:val="0"/>
        <w:adjustRightInd w:val="0"/>
        <w:spacing w:line="540" w:lineRule="exact"/>
        <w:ind w:firstLine="560" w:firstLineChars="200"/>
        <w:rPr>
          <w:rFonts w:hint="eastAsia" w:ascii="仿宋_GB2312" w:eastAsia="仿宋_GB2312"/>
          <w:color w:val="auto"/>
          <w:sz w:val="28"/>
          <w:highlight w:val="none"/>
        </w:rPr>
      </w:pPr>
      <w:r>
        <w:rPr>
          <w:rFonts w:hint="eastAsia" w:ascii="仿宋_GB2312" w:eastAsia="仿宋_GB2312"/>
          <w:color w:val="auto"/>
          <w:sz w:val="28"/>
          <w:highlight w:val="none"/>
        </w:rPr>
        <w:t>（5.3）中山及周边城市公布信息价均缺项的，可按同期《中山建设工程材料参考价格》或周边城市公布的材料供应商价格信息，至少下浮15%后作为工程预（结）算审核的计价依据；</w:t>
      </w:r>
    </w:p>
    <w:p>
      <w:pPr>
        <w:autoSpaceDE w:val="0"/>
        <w:autoSpaceDN w:val="0"/>
        <w:adjustRightInd w:val="0"/>
        <w:spacing w:line="540" w:lineRule="exact"/>
        <w:ind w:firstLine="560" w:firstLineChars="200"/>
        <w:rPr>
          <w:rFonts w:hint="eastAsia" w:ascii="仿宋_GB2312" w:eastAsia="仿宋_GB2312"/>
          <w:color w:val="auto"/>
          <w:sz w:val="28"/>
          <w:highlight w:val="none"/>
        </w:rPr>
      </w:pPr>
      <w:r>
        <w:rPr>
          <w:rFonts w:hint="eastAsia" w:ascii="仿宋_GB2312" w:eastAsia="仿宋_GB2312"/>
          <w:color w:val="auto"/>
          <w:sz w:val="28"/>
          <w:highlight w:val="none"/>
        </w:rPr>
        <w:t>6、工程优质费不计取。</w:t>
      </w:r>
    </w:p>
    <w:p>
      <w:pPr>
        <w:autoSpaceDE w:val="0"/>
        <w:autoSpaceDN w:val="0"/>
        <w:adjustRightInd w:val="0"/>
        <w:spacing w:line="540" w:lineRule="exact"/>
        <w:ind w:firstLine="560" w:firstLineChars="200"/>
        <w:rPr>
          <w:rFonts w:hint="eastAsia" w:ascii="仿宋_GB2312" w:eastAsia="仿宋_GB2312"/>
          <w:color w:val="auto"/>
          <w:sz w:val="28"/>
          <w:highlight w:val="none"/>
        </w:rPr>
      </w:pPr>
      <w:r>
        <w:rPr>
          <w:rFonts w:hint="eastAsia" w:ascii="仿宋_GB2312" w:eastAsia="仿宋_GB2312"/>
          <w:color w:val="auto"/>
          <w:sz w:val="28"/>
          <w:highlight w:val="none"/>
        </w:rPr>
        <w:t>7、依据建办标函（2019）193号文件增值税销项税额按税前工程造价9%计算。</w:t>
      </w:r>
    </w:p>
    <w:p>
      <w:pPr>
        <w:keepNext w:val="0"/>
        <w:keepLines w:val="0"/>
        <w:pageBreakBefore w:val="0"/>
        <w:widowControl w:val="0"/>
        <w:tabs>
          <w:tab w:val="left" w:pos="753"/>
        </w:tabs>
        <w:kinsoku/>
        <w:wordWrap/>
        <w:overflowPunct/>
        <w:topLinePunct w:val="0"/>
        <w:autoSpaceDE/>
        <w:autoSpaceDN/>
        <w:bidi w:val="0"/>
        <w:adjustRightInd/>
        <w:snapToGrid/>
        <w:spacing w:line="580" w:lineRule="exact"/>
        <w:textAlignment w:val="auto"/>
        <w:rPr>
          <w:rFonts w:ascii="黑体" w:eastAsia="黑体"/>
          <w:b/>
          <w:color w:val="auto"/>
          <w:sz w:val="26"/>
          <w:szCs w:val="26"/>
          <w:highlight w:val="none"/>
        </w:rPr>
      </w:pPr>
      <w:r>
        <w:rPr>
          <w:rFonts w:hint="eastAsia" w:ascii="黑体" w:eastAsia="黑体"/>
          <w:b/>
          <w:color w:val="auto"/>
          <w:sz w:val="26"/>
          <w:szCs w:val="26"/>
          <w:highlight w:val="none"/>
          <w:lang w:val="en-US" w:eastAsia="zh-CN"/>
        </w:rPr>
        <w:t>九</w:t>
      </w:r>
      <w:r>
        <w:rPr>
          <w:rFonts w:hint="eastAsia" w:ascii="黑体" w:eastAsia="黑体"/>
          <w:b/>
          <w:color w:val="auto"/>
          <w:sz w:val="26"/>
          <w:szCs w:val="26"/>
          <w:highlight w:val="none"/>
        </w:rPr>
        <w:t>、说明事项：</w:t>
      </w:r>
    </w:p>
    <w:p>
      <w:pPr>
        <w:keepNext w:val="0"/>
        <w:keepLines w:val="0"/>
        <w:pageBreakBefore w:val="0"/>
        <w:kinsoku/>
        <w:wordWrap/>
        <w:overflowPunct/>
        <w:topLinePunct w:val="0"/>
        <w:autoSpaceDE w:val="0"/>
        <w:autoSpaceDN w:val="0"/>
        <w:bidi w:val="0"/>
        <w:adjustRightInd w:val="0"/>
        <w:snapToGrid/>
        <w:spacing w:line="536" w:lineRule="exact"/>
        <w:jc w:val="left"/>
        <w:textAlignment w:val="auto"/>
        <w:rPr>
          <w:rFonts w:ascii="仿宋_GB2312" w:eastAsia="仿宋_GB2312"/>
          <w:b/>
          <w:color w:val="auto"/>
          <w:sz w:val="28"/>
          <w:highlight w:val="none"/>
        </w:rPr>
      </w:pPr>
      <w:r>
        <w:rPr>
          <w:rFonts w:hint="eastAsia" w:ascii="仿宋_GB2312" w:eastAsia="仿宋_GB2312"/>
          <w:b/>
          <w:color w:val="auto"/>
          <w:sz w:val="28"/>
          <w:highlight w:val="none"/>
        </w:rPr>
        <w:t>（一）土建工程说明：</w:t>
      </w:r>
    </w:p>
    <w:p>
      <w:pPr>
        <w:pStyle w:val="3"/>
        <w:keepNext w:val="0"/>
        <w:keepLines w:val="0"/>
        <w:pageBreakBefore w:val="0"/>
        <w:kinsoku/>
        <w:wordWrap/>
        <w:overflowPunct/>
        <w:topLinePunct w:val="0"/>
        <w:bidi w:val="0"/>
        <w:snapToGrid/>
        <w:spacing w:line="536" w:lineRule="exact"/>
        <w:ind w:firstLine="565" w:firstLineChars="202"/>
        <w:jc w:val="left"/>
        <w:textAlignment w:val="auto"/>
        <w:outlineLvl w:val="2"/>
        <w:rPr>
          <w:rFonts w:hint="eastAsia" w:ascii="仿宋_GB2312" w:hAnsi="Times New Roman" w:eastAsia="仿宋_GB2312"/>
          <w:color w:val="auto"/>
          <w:sz w:val="28"/>
          <w:szCs w:val="20"/>
          <w:highlight w:val="none"/>
          <w:lang w:eastAsia="zh-CN"/>
        </w:rPr>
      </w:pPr>
      <w:r>
        <w:rPr>
          <w:rFonts w:hint="eastAsia" w:ascii="仿宋_GB2312" w:hAnsi="Times New Roman" w:eastAsia="仿宋_GB2312"/>
          <w:color w:val="auto"/>
          <w:sz w:val="28"/>
          <w:szCs w:val="20"/>
          <w:highlight w:val="none"/>
        </w:rPr>
        <w:t>1、根据相关法规及中山市建筑市场实际状况，本工程考虑如下因素：使用商品混凝土，</w:t>
      </w:r>
      <w:r>
        <w:rPr>
          <w:rFonts w:hint="eastAsia" w:ascii="仿宋_GB2312" w:hAnsi="Times New Roman" w:eastAsia="仿宋_GB2312"/>
          <w:color w:val="auto"/>
          <w:sz w:val="28"/>
          <w:szCs w:val="20"/>
          <w:highlight w:val="none"/>
          <w:lang w:val="en-US" w:eastAsia="zh-CN"/>
        </w:rPr>
        <w:t>砂浆</w:t>
      </w:r>
      <w:r>
        <w:rPr>
          <w:rFonts w:hint="eastAsia" w:ascii="仿宋_GB2312" w:hAnsi="Times New Roman" w:eastAsia="仿宋_GB2312"/>
          <w:color w:val="auto"/>
          <w:sz w:val="28"/>
          <w:szCs w:val="20"/>
          <w:highlight w:val="none"/>
        </w:rPr>
        <w:t>按干混预拌砂浆，使用散装水泥</w:t>
      </w:r>
      <w:r>
        <w:rPr>
          <w:rFonts w:hint="eastAsia" w:ascii="仿宋_GB2312" w:hAnsi="Times New Roman" w:eastAsia="仿宋_GB2312"/>
          <w:color w:val="auto"/>
          <w:sz w:val="28"/>
          <w:szCs w:val="20"/>
          <w:highlight w:val="none"/>
          <w:lang w:eastAsia="zh-CN"/>
        </w:rPr>
        <w:t>；</w:t>
      </w:r>
    </w:p>
    <w:p>
      <w:pPr>
        <w:pStyle w:val="3"/>
        <w:keepNext w:val="0"/>
        <w:keepLines w:val="0"/>
        <w:pageBreakBefore w:val="0"/>
        <w:kinsoku/>
        <w:wordWrap/>
        <w:overflowPunct/>
        <w:topLinePunct w:val="0"/>
        <w:bidi w:val="0"/>
        <w:snapToGrid/>
        <w:spacing w:line="536" w:lineRule="exact"/>
        <w:ind w:firstLine="565" w:firstLineChars="202"/>
        <w:jc w:val="left"/>
        <w:textAlignment w:val="auto"/>
        <w:outlineLvl w:val="2"/>
        <w:rPr>
          <w:rFonts w:hint="eastAsia" w:ascii="仿宋_GB2312" w:hAnsi="Times New Roman" w:eastAsia="仿宋_GB2312"/>
          <w:color w:val="auto"/>
          <w:sz w:val="28"/>
          <w:szCs w:val="20"/>
          <w:highlight w:val="none"/>
          <w:lang w:eastAsia="zh-CN"/>
        </w:rPr>
      </w:pPr>
      <w:r>
        <w:rPr>
          <w:rFonts w:hint="eastAsia" w:ascii="仿宋_GB2312" w:hAnsi="Times New Roman" w:eastAsia="仿宋_GB2312"/>
          <w:color w:val="auto"/>
          <w:sz w:val="28"/>
          <w:szCs w:val="20"/>
          <w:highlight w:val="none"/>
        </w:rPr>
        <w:t>2、不考虑购土资源费和弃土消纳费，土方外运运距按10公里考虑</w:t>
      </w:r>
      <w:r>
        <w:rPr>
          <w:rFonts w:hint="eastAsia" w:ascii="仿宋_GB2312" w:hAnsi="Times New Roman" w:eastAsia="仿宋_GB2312"/>
          <w:color w:val="auto"/>
          <w:sz w:val="28"/>
          <w:szCs w:val="20"/>
          <w:highlight w:val="none"/>
          <w:lang w:eastAsia="zh-CN"/>
        </w:rPr>
        <w:t>；</w:t>
      </w:r>
    </w:p>
    <w:p>
      <w:pPr>
        <w:pStyle w:val="3"/>
        <w:keepNext w:val="0"/>
        <w:keepLines w:val="0"/>
        <w:pageBreakBefore w:val="0"/>
        <w:kinsoku/>
        <w:wordWrap/>
        <w:overflowPunct/>
        <w:topLinePunct w:val="0"/>
        <w:bidi w:val="0"/>
        <w:snapToGrid/>
        <w:spacing w:line="536" w:lineRule="exact"/>
        <w:ind w:firstLine="565" w:firstLineChars="202"/>
        <w:jc w:val="left"/>
        <w:textAlignment w:val="auto"/>
        <w:outlineLvl w:val="2"/>
        <w:rPr>
          <w:rFonts w:hint="eastAsia" w:ascii="仿宋_GB2312" w:hAnsi="Times New Roman" w:eastAsia="仿宋_GB2312" w:cs="Times New Roman"/>
          <w:color w:val="auto"/>
          <w:sz w:val="28"/>
          <w:szCs w:val="20"/>
          <w:highlight w:val="none"/>
          <w:lang w:eastAsia="zh-CN"/>
        </w:rPr>
      </w:pPr>
      <w:r>
        <w:rPr>
          <w:rFonts w:hint="eastAsia" w:ascii="仿宋_GB2312" w:hAnsi="Times New Roman" w:eastAsia="仿宋_GB2312"/>
          <w:color w:val="auto"/>
          <w:sz w:val="28"/>
          <w:szCs w:val="20"/>
          <w:highlight w:val="none"/>
        </w:rPr>
        <w:t>3、本项目考虑1台塔式起重机基础</w:t>
      </w:r>
      <w:r>
        <w:rPr>
          <w:rFonts w:hint="eastAsia" w:ascii="仿宋_GB2312" w:hAnsi="Times New Roman" w:eastAsia="仿宋_GB2312"/>
          <w:color w:val="auto"/>
          <w:sz w:val="28"/>
          <w:szCs w:val="20"/>
          <w:highlight w:val="none"/>
          <w:lang w:val="en-US" w:eastAsia="zh-CN"/>
        </w:rPr>
        <w:t>及</w:t>
      </w:r>
      <w:r>
        <w:rPr>
          <w:rFonts w:hint="eastAsia" w:ascii="仿宋_GB2312" w:hAnsi="Times New Roman" w:eastAsia="仿宋_GB2312"/>
          <w:color w:val="auto"/>
          <w:sz w:val="28"/>
          <w:szCs w:val="20"/>
          <w:highlight w:val="none"/>
        </w:rPr>
        <w:t>安拆费，</w:t>
      </w:r>
      <w:r>
        <w:rPr>
          <w:rFonts w:hint="eastAsia" w:ascii="仿宋_GB2312" w:hAnsi="Times New Roman" w:eastAsia="仿宋_GB2312" w:cs="Times New Roman"/>
          <w:color w:val="auto"/>
          <w:sz w:val="28"/>
          <w:szCs w:val="20"/>
          <w:highlight w:val="none"/>
          <w:lang w:val="en-US" w:eastAsia="zh-CN"/>
        </w:rPr>
        <w:t>静力压桩机</w:t>
      </w:r>
      <w:r>
        <w:rPr>
          <w:rFonts w:hint="eastAsia" w:ascii="仿宋_GB2312" w:hAnsi="Times New Roman" w:eastAsia="仿宋_GB2312" w:cs="Times New Roman"/>
          <w:color w:val="auto"/>
          <w:sz w:val="28"/>
          <w:szCs w:val="20"/>
          <w:highlight w:val="none"/>
        </w:rPr>
        <w:t>安拆费</w:t>
      </w:r>
      <w:r>
        <w:rPr>
          <w:rFonts w:hint="eastAsia" w:ascii="仿宋_GB2312" w:hAnsi="Times New Roman" w:eastAsia="仿宋_GB2312" w:cs="Times New Roman"/>
          <w:color w:val="auto"/>
          <w:sz w:val="28"/>
          <w:szCs w:val="20"/>
          <w:highlight w:val="none"/>
          <w:lang w:val="en-US" w:eastAsia="zh-CN"/>
        </w:rPr>
        <w:t>1台，施工电梯安拆按3台计</w:t>
      </w:r>
      <w:r>
        <w:rPr>
          <w:rFonts w:hint="eastAsia" w:ascii="仿宋_GB2312" w:hAnsi="Times New Roman" w:eastAsia="仿宋_GB2312" w:cs="Times New Roman"/>
          <w:color w:val="auto"/>
          <w:sz w:val="28"/>
          <w:szCs w:val="20"/>
          <w:highlight w:val="none"/>
          <w:lang w:eastAsia="zh-CN"/>
        </w:rPr>
        <w:t>；</w:t>
      </w:r>
    </w:p>
    <w:p>
      <w:pPr>
        <w:pStyle w:val="3"/>
        <w:keepNext w:val="0"/>
        <w:keepLines w:val="0"/>
        <w:pageBreakBefore w:val="0"/>
        <w:kinsoku/>
        <w:wordWrap/>
        <w:overflowPunct/>
        <w:topLinePunct w:val="0"/>
        <w:bidi w:val="0"/>
        <w:snapToGrid/>
        <w:spacing w:line="536" w:lineRule="exact"/>
        <w:ind w:firstLine="565" w:firstLineChars="202"/>
        <w:jc w:val="left"/>
        <w:textAlignment w:val="auto"/>
        <w:outlineLvl w:val="2"/>
        <w:rPr>
          <w:rFonts w:hint="eastAsia" w:ascii="仿宋_GB2312" w:hAnsi="Times New Roman" w:eastAsia="仿宋_GB2312" w:cs="Times New Roman"/>
          <w:color w:val="auto"/>
          <w:sz w:val="28"/>
          <w:szCs w:val="20"/>
          <w:highlight w:val="none"/>
          <w:lang w:eastAsia="zh-CN"/>
        </w:rPr>
      </w:pPr>
      <w:r>
        <w:rPr>
          <w:rFonts w:hint="eastAsia" w:ascii="仿宋_GB2312" w:hAnsi="Times New Roman" w:eastAsia="仿宋_GB2312" w:cs="Times New Roman"/>
          <w:color w:val="auto"/>
          <w:sz w:val="28"/>
          <w:szCs w:val="20"/>
          <w:highlight w:val="none"/>
          <w:lang w:val="en-US" w:eastAsia="zh-CN"/>
        </w:rPr>
        <w:t>4</w:t>
      </w:r>
      <w:r>
        <w:rPr>
          <w:rFonts w:hint="eastAsia" w:ascii="仿宋_GB2312" w:hAnsi="Times New Roman" w:eastAsia="仿宋_GB2312" w:cs="Times New Roman"/>
          <w:color w:val="auto"/>
          <w:sz w:val="28"/>
          <w:szCs w:val="20"/>
          <w:highlight w:val="none"/>
        </w:rPr>
        <w:t>、本项目已计算白蚁防治费</w:t>
      </w:r>
      <w:r>
        <w:rPr>
          <w:rFonts w:hint="eastAsia" w:ascii="仿宋_GB2312" w:hAnsi="Times New Roman" w:eastAsia="仿宋_GB2312" w:cs="Times New Roman"/>
          <w:color w:val="auto"/>
          <w:sz w:val="28"/>
          <w:szCs w:val="20"/>
          <w:highlight w:val="none"/>
          <w:lang w:eastAsia="zh-CN"/>
        </w:rPr>
        <w:t>；</w:t>
      </w:r>
    </w:p>
    <w:p>
      <w:pPr>
        <w:pStyle w:val="3"/>
        <w:keepNext w:val="0"/>
        <w:keepLines w:val="0"/>
        <w:pageBreakBefore w:val="0"/>
        <w:kinsoku/>
        <w:wordWrap/>
        <w:overflowPunct/>
        <w:topLinePunct w:val="0"/>
        <w:bidi w:val="0"/>
        <w:snapToGrid/>
        <w:spacing w:line="536" w:lineRule="exact"/>
        <w:ind w:firstLine="565" w:firstLineChars="202"/>
        <w:jc w:val="left"/>
        <w:textAlignment w:val="auto"/>
        <w:outlineLvl w:val="2"/>
        <w:rPr>
          <w:rFonts w:hint="default" w:ascii="仿宋_GB2312" w:hAnsi="Times New Roman" w:eastAsia="仿宋_GB2312"/>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5、灌注桩长度均按11.5m计算，入岩深度按设计所示长度计算，另灌注桩检测管按50*3.0mm，长度按12m计算；</w:t>
      </w:r>
    </w:p>
    <w:p>
      <w:pPr>
        <w:pStyle w:val="3"/>
        <w:keepNext w:val="0"/>
        <w:keepLines w:val="0"/>
        <w:pageBreakBefore w:val="0"/>
        <w:kinsoku/>
        <w:wordWrap/>
        <w:overflowPunct/>
        <w:topLinePunct w:val="0"/>
        <w:bidi w:val="0"/>
        <w:snapToGrid/>
        <w:spacing w:line="536" w:lineRule="exact"/>
        <w:ind w:firstLine="565" w:firstLineChars="202"/>
        <w:jc w:val="left"/>
        <w:textAlignment w:val="auto"/>
        <w:outlineLvl w:val="2"/>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6、凿桩头长度按0.5m考虑；</w:t>
      </w:r>
    </w:p>
    <w:p>
      <w:pPr>
        <w:pStyle w:val="3"/>
        <w:keepNext w:val="0"/>
        <w:keepLines w:val="0"/>
        <w:pageBreakBefore w:val="0"/>
        <w:kinsoku/>
        <w:wordWrap/>
        <w:overflowPunct/>
        <w:topLinePunct w:val="0"/>
        <w:bidi w:val="0"/>
        <w:snapToGrid/>
        <w:spacing w:line="536" w:lineRule="exact"/>
        <w:ind w:firstLine="565" w:firstLineChars="202"/>
        <w:jc w:val="left"/>
        <w:textAlignment w:val="auto"/>
        <w:outlineLvl w:val="2"/>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7、首层结构地面褥垫层按中砂(30%)和石粉(70%)最大粒径≤20mm计算；</w:t>
      </w:r>
    </w:p>
    <w:p>
      <w:pPr>
        <w:pStyle w:val="3"/>
        <w:keepNext w:val="0"/>
        <w:keepLines w:val="0"/>
        <w:pageBreakBefore w:val="0"/>
        <w:kinsoku/>
        <w:wordWrap/>
        <w:overflowPunct/>
        <w:topLinePunct w:val="0"/>
        <w:bidi w:val="0"/>
        <w:snapToGrid/>
        <w:spacing w:line="536" w:lineRule="exact"/>
        <w:ind w:firstLine="565" w:firstLineChars="202"/>
        <w:jc w:val="left"/>
        <w:textAlignment w:val="auto"/>
        <w:outlineLvl w:val="2"/>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8、消防泵房及消防水池墙按C30P8钢筋混凝土墙计算，配筋参Q2计算；</w:t>
      </w:r>
    </w:p>
    <w:p>
      <w:pPr>
        <w:pStyle w:val="3"/>
        <w:keepNext w:val="0"/>
        <w:keepLines w:val="0"/>
        <w:pageBreakBefore w:val="0"/>
        <w:kinsoku/>
        <w:wordWrap/>
        <w:overflowPunct/>
        <w:topLinePunct w:val="0"/>
        <w:bidi w:val="0"/>
        <w:snapToGrid/>
        <w:spacing w:line="536" w:lineRule="exact"/>
        <w:ind w:firstLine="565" w:firstLineChars="202"/>
        <w:jc w:val="left"/>
        <w:textAlignment w:val="auto"/>
        <w:outlineLvl w:val="2"/>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9、玻璃幕墙、外墙木纹铝板、外墙铝通、钢结构雨篷、车库交通工程及配电房配合设备部分二次深化等无具体设计图纸，单价按暂估计算；</w:t>
      </w:r>
    </w:p>
    <w:p>
      <w:pPr>
        <w:pStyle w:val="3"/>
        <w:keepNext w:val="0"/>
        <w:keepLines w:val="0"/>
        <w:pageBreakBefore w:val="0"/>
        <w:kinsoku/>
        <w:wordWrap/>
        <w:overflowPunct/>
        <w:topLinePunct w:val="0"/>
        <w:bidi w:val="0"/>
        <w:snapToGrid/>
        <w:spacing w:line="536" w:lineRule="exact"/>
        <w:ind w:firstLine="565" w:firstLineChars="202"/>
        <w:jc w:val="left"/>
        <w:textAlignment w:val="auto"/>
        <w:outlineLvl w:val="2"/>
        <w:rPr>
          <w:rFonts w:hint="default"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10、</w:t>
      </w:r>
      <w:r>
        <w:rPr>
          <w:rFonts w:hint="eastAsia" w:ascii="仿宋_GB2312" w:hAnsi="Times New Roman" w:eastAsia="仿宋_GB2312" w:cs="Times New Roman"/>
          <w:color w:val="auto"/>
          <w:sz w:val="28"/>
          <w:szCs w:val="20"/>
          <w:highlight w:val="none"/>
          <w:lang w:val="en-US" w:eastAsia="zh-CN"/>
        </w:rPr>
        <w:t>施工围挡无具体设计图纸，暂未计入。</w:t>
      </w:r>
    </w:p>
    <w:p>
      <w:pPr>
        <w:keepNext w:val="0"/>
        <w:keepLines w:val="0"/>
        <w:pageBreakBefore w:val="0"/>
        <w:kinsoku/>
        <w:wordWrap/>
        <w:overflowPunct/>
        <w:topLinePunct w:val="0"/>
        <w:autoSpaceDE w:val="0"/>
        <w:autoSpaceDN w:val="0"/>
        <w:bidi w:val="0"/>
        <w:adjustRightInd w:val="0"/>
        <w:snapToGrid/>
        <w:spacing w:line="536" w:lineRule="exact"/>
        <w:jc w:val="left"/>
        <w:textAlignment w:val="auto"/>
        <w:rPr>
          <w:rFonts w:ascii="仿宋_GB2312" w:eastAsia="仿宋_GB2312"/>
          <w:b/>
          <w:color w:val="auto"/>
          <w:sz w:val="28"/>
          <w:highlight w:val="none"/>
        </w:rPr>
      </w:pPr>
      <w:r>
        <w:rPr>
          <w:rFonts w:hint="eastAsia" w:ascii="仿宋_GB2312" w:eastAsia="仿宋_GB2312"/>
          <w:b/>
          <w:color w:val="auto"/>
          <w:sz w:val="28"/>
          <w:highlight w:val="none"/>
        </w:rPr>
        <w:t>（</w:t>
      </w:r>
      <w:r>
        <w:rPr>
          <w:rFonts w:hint="eastAsia" w:ascii="仿宋_GB2312" w:eastAsia="仿宋_GB2312"/>
          <w:b/>
          <w:color w:val="auto"/>
          <w:sz w:val="28"/>
          <w:highlight w:val="none"/>
          <w:lang w:val="en-US" w:eastAsia="zh-CN"/>
        </w:rPr>
        <w:t>二</w:t>
      </w:r>
      <w:r>
        <w:rPr>
          <w:rFonts w:hint="eastAsia" w:ascii="仿宋_GB2312" w:eastAsia="仿宋_GB2312"/>
          <w:b/>
          <w:color w:val="auto"/>
          <w:sz w:val="28"/>
          <w:highlight w:val="none"/>
        </w:rPr>
        <w:t>）</w:t>
      </w:r>
      <w:r>
        <w:rPr>
          <w:rFonts w:hint="eastAsia" w:ascii="仿宋_GB2312" w:eastAsia="仿宋_GB2312"/>
          <w:b/>
          <w:color w:val="auto"/>
          <w:sz w:val="28"/>
          <w:highlight w:val="none"/>
          <w:lang w:val="en-US" w:eastAsia="zh-CN"/>
        </w:rPr>
        <w:t>装饰</w:t>
      </w:r>
      <w:r>
        <w:rPr>
          <w:rFonts w:hint="eastAsia" w:ascii="仿宋_GB2312" w:eastAsia="仿宋_GB2312"/>
          <w:b/>
          <w:color w:val="auto"/>
          <w:sz w:val="28"/>
          <w:highlight w:val="none"/>
        </w:rPr>
        <w:t>工程说明：</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eastAsia" w:ascii="仿宋_GB2312" w:hAnsi="Times New Roman" w:eastAsia="仿宋_GB2312"/>
          <w:color w:val="auto"/>
          <w:sz w:val="28"/>
          <w:szCs w:val="20"/>
          <w:highlight w:val="none"/>
          <w:lang w:eastAsia="zh-CN"/>
        </w:rPr>
      </w:pPr>
      <w:r>
        <w:rPr>
          <w:rFonts w:hint="eastAsia" w:ascii="仿宋_GB2312" w:hAnsi="Times New Roman" w:eastAsia="仿宋_GB2312"/>
          <w:color w:val="auto"/>
          <w:sz w:val="28"/>
          <w:szCs w:val="20"/>
          <w:highlight w:val="none"/>
        </w:rPr>
        <w:t>1、</w:t>
      </w:r>
      <w:r>
        <w:rPr>
          <w:rFonts w:hint="eastAsia" w:ascii="仿宋_GB2312" w:hAnsi="Times New Roman" w:eastAsia="仿宋_GB2312"/>
          <w:color w:val="auto"/>
          <w:sz w:val="28"/>
          <w:szCs w:val="20"/>
          <w:highlight w:val="none"/>
          <w:lang w:val="en-US" w:eastAsia="zh-CN"/>
        </w:rPr>
        <w:t>精装修图纸与土建图纸有冲突部分，以精装修图纸为准</w:t>
      </w:r>
      <w:r>
        <w:rPr>
          <w:rFonts w:hint="eastAsia" w:ascii="仿宋_GB2312" w:hAnsi="Times New Roman" w:eastAsia="仿宋_GB2312"/>
          <w:color w:val="auto"/>
          <w:sz w:val="28"/>
          <w:szCs w:val="20"/>
          <w:highlight w:val="none"/>
          <w:lang w:eastAsia="zh-CN"/>
        </w:rPr>
        <w:t>；</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default" w:ascii="仿宋_GB2312" w:hAnsi="Times New Roman" w:eastAsia="仿宋_GB2312"/>
          <w:color w:val="auto"/>
          <w:sz w:val="28"/>
          <w:szCs w:val="20"/>
          <w:highlight w:val="none"/>
          <w:lang w:val="en-US" w:eastAsia="zh-CN"/>
        </w:rPr>
      </w:pPr>
      <w:r>
        <w:rPr>
          <w:rFonts w:hint="eastAsia" w:ascii="仿宋_GB2312" w:hAnsi="Times New Roman" w:eastAsia="仿宋_GB2312"/>
          <w:color w:val="auto"/>
          <w:sz w:val="28"/>
          <w:szCs w:val="20"/>
          <w:highlight w:val="none"/>
          <w:lang w:val="en-US" w:eastAsia="zh-CN"/>
        </w:rPr>
        <w:t>2、部分面层设计未提供具体尺寸，预算暂按如下计算：卫生间、垃圾站地砖按600*600防滑砖计算，消防水池地砖按300*300防滑砖计算，卫生间及垃圾站墙面砖按300*600瓷砖计算，水池墙面瓷片按200*300计算，外走廊处铝板吊顶规格按600*600*0.8计算；</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eastAsia" w:ascii="仿宋_GB2312" w:hAnsi="Times New Roman" w:eastAsia="仿宋_GB2312"/>
          <w:color w:val="auto"/>
          <w:sz w:val="28"/>
          <w:szCs w:val="20"/>
          <w:highlight w:val="none"/>
          <w:lang w:val="en-US" w:eastAsia="zh-CN"/>
        </w:rPr>
      </w:pPr>
      <w:r>
        <w:rPr>
          <w:rFonts w:hint="eastAsia" w:ascii="仿宋_GB2312" w:hAnsi="Times New Roman" w:eastAsia="仿宋_GB2312"/>
          <w:color w:val="auto"/>
          <w:sz w:val="28"/>
          <w:szCs w:val="20"/>
          <w:highlight w:val="none"/>
          <w:lang w:val="en-US" w:eastAsia="zh-CN"/>
        </w:rPr>
        <w:t>3、外墙砖经咨询设计按45*95纸皮砖计算，外墙涂料按真石漆计算；</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eastAsia" w:ascii="仿宋_GB2312" w:hAnsi="Times New Roman" w:eastAsia="仿宋_GB2312"/>
          <w:color w:val="auto"/>
          <w:sz w:val="28"/>
          <w:szCs w:val="20"/>
          <w:highlight w:val="none"/>
          <w:lang w:val="en-US" w:eastAsia="zh-CN"/>
        </w:rPr>
      </w:pPr>
      <w:r>
        <w:rPr>
          <w:rFonts w:hint="eastAsia" w:ascii="仿宋_GB2312" w:hAnsi="Times New Roman" w:eastAsia="仿宋_GB2312"/>
          <w:color w:val="auto"/>
          <w:sz w:val="28"/>
          <w:szCs w:val="20"/>
          <w:highlight w:val="none"/>
          <w:lang w:val="en-US" w:eastAsia="zh-CN"/>
        </w:rPr>
        <w:t>4、卫生间防水高度按贴砖高度计算；</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eastAsia" w:ascii="仿宋_GB2312" w:hAnsi="Times New Roman" w:eastAsia="仿宋_GB2312"/>
          <w:color w:val="auto"/>
          <w:sz w:val="28"/>
          <w:szCs w:val="20"/>
          <w:highlight w:val="none"/>
          <w:lang w:val="en-US" w:eastAsia="zh-CN"/>
        </w:rPr>
      </w:pPr>
      <w:r>
        <w:rPr>
          <w:rFonts w:hint="eastAsia" w:ascii="仿宋_GB2312" w:hAnsi="Times New Roman" w:eastAsia="仿宋_GB2312"/>
          <w:color w:val="auto"/>
          <w:sz w:val="28"/>
          <w:szCs w:val="20"/>
          <w:highlight w:val="none"/>
          <w:lang w:val="en-US" w:eastAsia="zh-CN"/>
        </w:rPr>
        <w:t>5、空调内侧墙面按涂料外墙面计算；</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eastAsia" w:ascii="仿宋_GB2312" w:hAnsi="Times New Roman" w:eastAsia="仿宋_GB2312"/>
          <w:color w:val="auto"/>
          <w:sz w:val="28"/>
          <w:szCs w:val="20"/>
          <w:highlight w:val="none"/>
          <w:lang w:val="en-US" w:eastAsia="zh-CN"/>
        </w:rPr>
      </w:pPr>
      <w:r>
        <w:rPr>
          <w:rFonts w:hint="eastAsia" w:ascii="仿宋_GB2312" w:hAnsi="Times New Roman" w:eastAsia="仿宋_GB2312"/>
          <w:color w:val="auto"/>
          <w:sz w:val="28"/>
          <w:szCs w:val="20"/>
          <w:highlight w:val="none"/>
          <w:lang w:val="en-US" w:eastAsia="zh-CN"/>
        </w:rPr>
        <w:t>6、楼梯防滑条按陶瓷防滑条计算；</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eastAsia" w:ascii="仿宋_GB2312" w:hAnsi="Times New Roman" w:eastAsia="仿宋_GB2312"/>
          <w:color w:val="auto"/>
          <w:sz w:val="28"/>
          <w:szCs w:val="20"/>
          <w:highlight w:val="none"/>
          <w:lang w:val="en-US" w:eastAsia="zh-CN"/>
        </w:rPr>
      </w:pPr>
      <w:r>
        <w:rPr>
          <w:rFonts w:hint="eastAsia" w:ascii="仿宋_GB2312" w:hAnsi="Times New Roman" w:eastAsia="仿宋_GB2312"/>
          <w:color w:val="auto"/>
          <w:sz w:val="28"/>
          <w:szCs w:val="20"/>
          <w:highlight w:val="none"/>
          <w:lang w:val="en-US" w:eastAsia="zh-CN"/>
        </w:rPr>
        <w:t>7、前室做法同楼梯间；</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eastAsia" w:ascii="仿宋_GB2312" w:hAnsi="Times New Roman" w:eastAsia="仿宋_GB2312"/>
          <w:color w:val="auto"/>
          <w:sz w:val="28"/>
          <w:szCs w:val="20"/>
          <w:highlight w:val="none"/>
          <w:lang w:val="en-US" w:eastAsia="zh-CN"/>
        </w:rPr>
      </w:pPr>
      <w:r>
        <w:rPr>
          <w:rFonts w:hint="eastAsia" w:ascii="仿宋_GB2312" w:hAnsi="Times New Roman" w:eastAsia="仿宋_GB2312"/>
          <w:color w:val="auto"/>
          <w:sz w:val="28"/>
          <w:szCs w:val="20"/>
          <w:highlight w:val="none"/>
          <w:lang w:val="en-US" w:eastAsia="zh-CN"/>
        </w:rPr>
        <w:t>8、室外、架空层独立柱按包铝板计算；</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eastAsia" w:ascii="仿宋_GB2312" w:hAnsi="Times New Roman" w:eastAsia="仿宋_GB2312"/>
          <w:color w:val="auto"/>
          <w:sz w:val="28"/>
          <w:szCs w:val="20"/>
          <w:highlight w:val="none"/>
          <w:lang w:val="en-US" w:eastAsia="zh-CN"/>
        </w:rPr>
      </w:pPr>
      <w:r>
        <w:rPr>
          <w:rFonts w:hint="eastAsia" w:ascii="仿宋_GB2312" w:hAnsi="Times New Roman" w:eastAsia="仿宋_GB2312"/>
          <w:color w:val="auto"/>
          <w:sz w:val="28"/>
          <w:szCs w:val="20"/>
          <w:highlight w:val="none"/>
          <w:lang w:val="en-US" w:eastAsia="zh-CN"/>
        </w:rPr>
        <w:t>9、露台和景观阳台地面做法按屋1；</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default" w:ascii="仿宋_GB2312" w:hAnsi="Times New Roman" w:eastAsia="仿宋_GB2312"/>
          <w:color w:val="auto"/>
          <w:sz w:val="28"/>
          <w:szCs w:val="20"/>
          <w:highlight w:val="none"/>
          <w:lang w:val="en-US" w:eastAsia="zh-CN"/>
        </w:rPr>
      </w:pPr>
      <w:r>
        <w:rPr>
          <w:rFonts w:hint="eastAsia" w:ascii="仿宋_GB2312" w:hAnsi="Times New Roman" w:eastAsia="仿宋_GB2312"/>
          <w:color w:val="auto"/>
          <w:sz w:val="28"/>
          <w:szCs w:val="20"/>
          <w:highlight w:val="none"/>
          <w:lang w:val="en-US" w:eastAsia="zh-CN"/>
        </w:rPr>
        <w:t>10、无机涂料均按一底两面计算；</w:t>
      </w:r>
    </w:p>
    <w:p>
      <w:pPr>
        <w:keepNext w:val="0"/>
        <w:keepLines w:val="0"/>
        <w:pageBreakBefore w:val="0"/>
        <w:kinsoku/>
        <w:wordWrap/>
        <w:overflowPunct/>
        <w:topLinePunct w:val="0"/>
        <w:autoSpaceDE w:val="0"/>
        <w:autoSpaceDN w:val="0"/>
        <w:bidi w:val="0"/>
        <w:adjustRightInd w:val="0"/>
        <w:snapToGrid/>
        <w:spacing w:line="536" w:lineRule="exact"/>
        <w:jc w:val="left"/>
        <w:textAlignment w:val="auto"/>
        <w:rPr>
          <w:rFonts w:hint="eastAsia" w:ascii="仿宋_GB2312" w:hAnsi="Times New Roman" w:eastAsia="仿宋_GB2312" w:cs="Times New Roman"/>
          <w:b/>
          <w:color w:val="auto"/>
          <w:sz w:val="28"/>
          <w:highlight w:val="none"/>
        </w:rPr>
      </w:pPr>
      <w:r>
        <w:rPr>
          <w:rFonts w:hint="eastAsia" w:ascii="仿宋_GB2312" w:hAnsi="Times New Roman" w:eastAsia="仿宋_GB2312" w:cs="Times New Roman"/>
          <w:b/>
          <w:color w:val="auto"/>
          <w:sz w:val="28"/>
          <w:highlight w:val="none"/>
          <w:lang w:eastAsia="zh-CN"/>
        </w:rPr>
        <w:t>（</w:t>
      </w:r>
      <w:r>
        <w:rPr>
          <w:rFonts w:hint="eastAsia" w:ascii="仿宋_GB2312" w:hAnsi="Times New Roman" w:eastAsia="仿宋_GB2312" w:cs="Times New Roman"/>
          <w:b/>
          <w:color w:val="auto"/>
          <w:sz w:val="28"/>
          <w:highlight w:val="none"/>
          <w:lang w:val="en-US" w:eastAsia="zh-CN"/>
        </w:rPr>
        <w:t>三</w:t>
      </w:r>
      <w:r>
        <w:rPr>
          <w:rFonts w:hint="eastAsia" w:ascii="仿宋_GB2312" w:hAnsi="Times New Roman" w:eastAsia="仿宋_GB2312" w:cs="Times New Roman"/>
          <w:b/>
          <w:color w:val="auto"/>
          <w:sz w:val="28"/>
          <w:highlight w:val="none"/>
          <w:lang w:eastAsia="zh-CN"/>
        </w:rPr>
        <w:t>）</w:t>
      </w:r>
      <w:r>
        <w:rPr>
          <w:rFonts w:hint="eastAsia" w:ascii="仿宋_GB2312" w:hAnsi="Times New Roman" w:eastAsia="仿宋_GB2312" w:cs="Times New Roman"/>
          <w:b/>
          <w:color w:val="auto"/>
          <w:sz w:val="28"/>
          <w:highlight w:val="none"/>
        </w:rPr>
        <w:t>室外配套工程主要说明</w:t>
      </w:r>
    </w:p>
    <w:p>
      <w:pPr>
        <w:pStyle w:val="3"/>
        <w:keepNext w:val="0"/>
        <w:keepLines w:val="0"/>
        <w:pageBreakBefore w:val="0"/>
        <w:kinsoku/>
        <w:wordWrap/>
        <w:overflowPunct/>
        <w:topLinePunct w:val="0"/>
        <w:bidi w:val="0"/>
        <w:snapToGrid/>
        <w:spacing w:line="536" w:lineRule="exact"/>
        <w:ind w:firstLine="568" w:firstLineChars="202"/>
        <w:jc w:val="left"/>
        <w:textAlignment w:val="auto"/>
        <w:outlineLvl w:val="2"/>
        <w:rPr>
          <w:rFonts w:hint="eastAsia" w:ascii="仿宋_GB2312" w:hAnsi="Times New Roman" w:eastAsia="仿宋_GB2312"/>
          <w:b/>
          <w:bCs/>
          <w:color w:val="auto"/>
          <w:sz w:val="28"/>
          <w:szCs w:val="20"/>
          <w:highlight w:val="none"/>
        </w:rPr>
      </w:pPr>
      <w:r>
        <w:rPr>
          <w:rFonts w:hint="eastAsia" w:ascii="仿宋_GB2312" w:hAnsi="Times New Roman" w:eastAsia="仿宋_GB2312"/>
          <w:b/>
          <w:bCs/>
          <w:color w:val="auto"/>
          <w:sz w:val="28"/>
          <w:szCs w:val="20"/>
          <w:highlight w:val="none"/>
          <w:lang w:val="en-US" w:eastAsia="zh-CN"/>
        </w:rPr>
        <w:t>1</w:t>
      </w:r>
      <w:r>
        <w:rPr>
          <w:rFonts w:hint="eastAsia" w:ascii="仿宋_GB2312" w:hAnsi="Times New Roman" w:eastAsia="仿宋_GB2312"/>
          <w:b/>
          <w:bCs/>
          <w:color w:val="auto"/>
          <w:sz w:val="28"/>
          <w:szCs w:val="20"/>
          <w:highlight w:val="none"/>
        </w:rPr>
        <w:t>、</w:t>
      </w:r>
      <w:r>
        <w:rPr>
          <w:rFonts w:hint="eastAsia" w:ascii="仿宋_GB2312" w:hAnsi="Times New Roman" w:eastAsia="仿宋_GB2312"/>
          <w:b/>
          <w:bCs/>
          <w:color w:val="auto"/>
          <w:sz w:val="28"/>
          <w:szCs w:val="20"/>
          <w:highlight w:val="none"/>
          <w:lang w:val="en-US" w:eastAsia="zh-CN"/>
        </w:rPr>
        <w:t>园建</w:t>
      </w:r>
      <w:r>
        <w:rPr>
          <w:rFonts w:hint="eastAsia" w:ascii="仿宋_GB2312" w:hAnsi="Times New Roman" w:eastAsia="仿宋_GB2312"/>
          <w:b/>
          <w:bCs/>
          <w:color w:val="auto"/>
          <w:sz w:val="28"/>
          <w:szCs w:val="20"/>
          <w:highlight w:val="none"/>
        </w:rPr>
        <w:t>工程</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olor w:val="auto"/>
          <w:sz w:val="28"/>
          <w:szCs w:val="20"/>
          <w:highlight w:val="none"/>
        </w:rPr>
        <w:t>（1）</w:t>
      </w:r>
      <w:r>
        <w:rPr>
          <w:rFonts w:hint="eastAsia" w:ascii="仿宋_GB2312" w:hAnsi="Times New Roman" w:eastAsia="仿宋_GB2312" w:cs="Times New Roman"/>
          <w:color w:val="auto"/>
          <w:sz w:val="28"/>
          <w:szCs w:val="20"/>
          <w:highlight w:val="none"/>
          <w:lang w:val="en-US" w:eastAsia="zh-CN"/>
        </w:rPr>
        <w:t>本预算不考虑拆除工程；</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olor w:val="auto"/>
          <w:sz w:val="28"/>
          <w:szCs w:val="20"/>
          <w:highlight w:val="none"/>
        </w:rPr>
        <w:t>（2）</w:t>
      </w:r>
      <w:r>
        <w:rPr>
          <w:rFonts w:hint="eastAsia" w:ascii="仿宋_GB2312" w:hAnsi="Times New Roman" w:eastAsia="仿宋_GB2312" w:cs="Times New Roman"/>
          <w:color w:val="auto"/>
          <w:sz w:val="28"/>
          <w:szCs w:val="20"/>
          <w:highlight w:val="none"/>
          <w:lang w:val="en-US" w:eastAsia="zh-CN"/>
        </w:rPr>
        <w:t>根据设计回复，红线外铺装是消防扑救面来，必须一起施工，红线外铺装计入本次工程；</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default"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（3）根据设计回复，</w:t>
      </w:r>
      <w:r>
        <w:rPr>
          <w:rFonts w:hint="default" w:ascii="仿宋_GB2312" w:hAnsi="Times New Roman" w:eastAsia="仿宋_GB2312" w:cs="Times New Roman"/>
          <w:color w:val="auto"/>
          <w:sz w:val="28"/>
          <w:szCs w:val="20"/>
          <w:highlight w:val="none"/>
          <w:lang w:val="en-US" w:eastAsia="zh-CN"/>
        </w:rPr>
        <w:t>沥青路结构按透水做法</w:t>
      </w:r>
      <w:r>
        <w:rPr>
          <w:rFonts w:hint="eastAsia" w:ascii="仿宋_GB2312" w:hAnsi="Times New Roman" w:eastAsia="仿宋_GB2312" w:cs="Times New Roman"/>
          <w:color w:val="auto"/>
          <w:sz w:val="28"/>
          <w:szCs w:val="20"/>
          <w:highlight w:val="none"/>
          <w:lang w:val="en-US" w:eastAsia="zh-CN"/>
        </w:rPr>
        <w:t>；</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default"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（4）根据设计回复，</w:t>
      </w:r>
      <w:r>
        <w:rPr>
          <w:rFonts w:hint="default" w:ascii="仿宋_GB2312" w:hAnsi="Times New Roman" w:eastAsia="仿宋_GB2312" w:cs="Times New Roman"/>
          <w:color w:val="auto"/>
          <w:sz w:val="28"/>
          <w:szCs w:val="20"/>
          <w:highlight w:val="none"/>
          <w:lang w:val="en-US" w:eastAsia="zh-CN"/>
        </w:rPr>
        <w:t>成品花箱</w:t>
      </w:r>
      <w:r>
        <w:rPr>
          <w:rFonts w:hint="eastAsia" w:ascii="仿宋_GB2312" w:hAnsi="Times New Roman" w:eastAsia="仿宋_GB2312" w:cs="Times New Roman"/>
          <w:color w:val="auto"/>
          <w:sz w:val="28"/>
          <w:szCs w:val="20"/>
          <w:highlight w:val="none"/>
          <w:lang w:val="en-US" w:eastAsia="zh-CN"/>
        </w:rPr>
        <w:t>材质为玻璃钢；</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（5）根据设计回复，仿木纹砖为：900*150*10浅棕色</w:t>
      </w:r>
      <w:r>
        <w:rPr>
          <w:rFonts w:hint="eastAsia" w:ascii="仿宋_GB2312" w:eastAsia="仿宋_GB2312" w:cs="Times New Roman"/>
          <w:color w:val="auto"/>
          <w:sz w:val="28"/>
          <w:szCs w:val="20"/>
          <w:highlight w:val="none"/>
          <w:lang w:val="en-US" w:eastAsia="zh-CN"/>
        </w:rPr>
        <w:t>；</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default"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（6）围墙基础垫层做法按设计最新回复。</w:t>
      </w:r>
    </w:p>
    <w:p>
      <w:pPr>
        <w:pStyle w:val="3"/>
        <w:keepNext w:val="0"/>
        <w:keepLines w:val="0"/>
        <w:pageBreakBefore w:val="0"/>
        <w:kinsoku/>
        <w:wordWrap/>
        <w:overflowPunct/>
        <w:topLinePunct w:val="0"/>
        <w:bidi w:val="0"/>
        <w:snapToGrid/>
        <w:spacing w:line="536" w:lineRule="exact"/>
        <w:ind w:firstLine="568" w:firstLineChars="202"/>
        <w:jc w:val="left"/>
        <w:textAlignment w:val="auto"/>
        <w:outlineLvl w:val="2"/>
        <w:rPr>
          <w:rFonts w:hint="eastAsia" w:ascii="仿宋_GB2312" w:hAnsi="Times New Roman" w:eastAsia="仿宋_GB2312"/>
          <w:b/>
          <w:bCs/>
          <w:color w:val="auto"/>
          <w:sz w:val="28"/>
          <w:szCs w:val="20"/>
          <w:highlight w:val="none"/>
        </w:rPr>
      </w:pPr>
      <w:r>
        <w:rPr>
          <w:rFonts w:hint="eastAsia" w:ascii="仿宋_GB2312" w:hAnsi="Times New Roman" w:eastAsia="仿宋_GB2312"/>
          <w:b/>
          <w:bCs/>
          <w:color w:val="auto"/>
          <w:sz w:val="28"/>
          <w:szCs w:val="20"/>
          <w:highlight w:val="none"/>
          <w:lang w:val="en-US" w:eastAsia="zh-CN"/>
        </w:rPr>
        <w:t>2</w:t>
      </w:r>
      <w:r>
        <w:rPr>
          <w:rFonts w:hint="eastAsia" w:ascii="仿宋_GB2312" w:hAnsi="Times New Roman" w:eastAsia="仿宋_GB2312"/>
          <w:b/>
          <w:bCs/>
          <w:color w:val="auto"/>
          <w:sz w:val="28"/>
          <w:szCs w:val="20"/>
          <w:highlight w:val="none"/>
        </w:rPr>
        <w:t>、绿化工程</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rPr>
        <w:t>（</w:t>
      </w:r>
      <w:r>
        <w:rPr>
          <w:rFonts w:hint="eastAsia" w:ascii="仿宋_GB2312" w:hAnsi="Times New Roman" w:eastAsia="仿宋_GB2312" w:cs="Times New Roman"/>
          <w:color w:val="auto"/>
          <w:sz w:val="28"/>
          <w:szCs w:val="20"/>
          <w:highlight w:val="none"/>
          <w:lang w:val="en-US" w:eastAsia="zh-CN"/>
        </w:rPr>
        <w:t>1</w:t>
      </w:r>
      <w:r>
        <w:rPr>
          <w:rFonts w:hint="eastAsia" w:ascii="仿宋_GB2312" w:hAnsi="Times New Roman" w:eastAsia="仿宋_GB2312" w:cs="Times New Roman"/>
          <w:color w:val="auto"/>
          <w:sz w:val="28"/>
          <w:szCs w:val="20"/>
          <w:highlight w:val="none"/>
          <w:lang w:eastAsia="zh-CN"/>
        </w:rPr>
        <w:t>）</w:t>
      </w:r>
      <w:r>
        <w:rPr>
          <w:rFonts w:hint="eastAsia" w:ascii="仿宋_GB2312" w:hAnsi="Times New Roman" w:eastAsia="仿宋_GB2312" w:cs="Times New Roman"/>
          <w:color w:val="auto"/>
          <w:sz w:val="28"/>
          <w:szCs w:val="20"/>
          <w:highlight w:val="none"/>
          <w:lang w:val="en-US" w:eastAsia="zh-CN"/>
        </w:rPr>
        <w:t>绿化养护按人工养护12个月考虑；</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default"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olor w:val="auto"/>
          <w:sz w:val="28"/>
          <w:szCs w:val="20"/>
          <w:highlight w:val="none"/>
        </w:rPr>
        <w:t>（2）</w:t>
      </w:r>
      <w:r>
        <w:rPr>
          <w:rFonts w:hint="eastAsia" w:ascii="仿宋_GB2312" w:hAnsi="Times New Roman" w:eastAsia="仿宋_GB2312" w:cs="Times New Roman"/>
          <w:color w:val="auto"/>
          <w:sz w:val="28"/>
          <w:szCs w:val="20"/>
          <w:highlight w:val="none"/>
          <w:lang w:val="en-US" w:eastAsia="zh-CN"/>
        </w:rPr>
        <w:t>乔木支撑暂按三角圆木桩支撑，结算按实；</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default"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olor w:val="auto"/>
          <w:sz w:val="28"/>
          <w:szCs w:val="20"/>
          <w:highlight w:val="none"/>
        </w:rPr>
        <w:t>（</w:t>
      </w:r>
      <w:r>
        <w:rPr>
          <w:rFonts w:hint="eastAsia" w:ascii="仿宋_GB2312" w:hAnsi="Times New Roman" w:eastAsia="仿宋_GB2312"/>
          <w:color w:val="auto"/>
          <w:sz w:val="28"/>
          <w:szCs w:val="20"/>
          <w:highlight w:val="none"/>
          <w:lang w:val="en-US" w:eastAsia="zh-CN"/>
        </w:rPr>
        <w:t>3</w:t>
      </w:r>
      <w:r>
        <w:rPr>
          <w:rFonts w:hint="eastAsia" w:ascii="仿宋_GB2312" w:hAnsi="Times New Roman" w:eastAsia="仿宋_GB2312"/>
          <w:color w:val="auto"/>
          <w:sz w:val="28"/>
          <w:szCs w:val="20"/>
          <w:highlight w:val="none"/>
        </w:rPr>
        <w:t>）</w:t>
      </w:r>
      <w:r>
        <w:rPr>
          <w:rFonts w:hint="eastAsia" w:ascii="仿宋_GB2312" w:hAnsi="Times New Roman" w:eastAsia="仿宋_GB2312" w:cs="Times New Roman"/>
          <w:color w:val="auto"/>
          <w:sz w:val="28"/>
          <w:szCs w:val="20"/>
          <w:highlight w:val="none"/>
          <w:lang w:val="en-US" w:eastAsia="zh-CN"/>
        </w:rPr>
        <w:t>根据设计回复，</w:t>
      </w:r>
      <w:r>
        <w:rPr>
          <w:rFonts w:hint="default" w:ascii="仿宋_GB2312" w:hAnsi="Times New Roman" w:eastAsia="仿宋_GB2312" w:cs="Times New Roman"/>
          <w:color w:val="auto"/>
          <w:sz w:val="28"/>
          <w:szCs w:val="20"/>
          <w:highlight w:val="none"/>
          <w:lang w:val="en-US" w:eastAsia="zh-CN"/>
        </w:rPr>
        <w:t>10F地被</w:t>
      </w:r>
      <w:r>
        <w:rPr>
          <w:rFonts w:hint="eastAsia" w:ascii="仿宋_GB2312" w:hAnsi="Times New Roman" w:eastAsia="仿宋_GB2312" w:cs="Times New Roman"/>
          <w:color w:val="auto"/>
          <w:sz w:val="28"/>
          <w:szCs w:val="20"/>
          <w:highlight w:val="none"/>
          <w:lang w:val="en-US" w:eastAsia="zh-CN"/>
        </w:rPr>
        <w:t>品种应为</w:t>
      </w:r>
      <w:r>
        <w:rPr>
          <w:rFonts w:hint="default" w:ascii="仿宋_GB2312" w:hAnsi="Times New Roman" w:eastAsia="仿宋_GB2312" w:cs="Times New Roman"/>
          <w:color w:val="auto"/>
          <w:sz w:val="28"/>
          <w:szCs w:val="20"/>
          <w:highlight w:val="none"/>
          <w:lang w:val="en-US" w:eastAsia="zh-CN"/>
        </w:rPr>
        <w:t>米兰</w:t>
      </w:r>
      <w:r>
        <w:rPr>
          <w:rFonts w:hint="eastAsia" w:ascii="仿宋_GB2312" w:hAnsi="Times New Roman" w:eastAsia="仿宋_GB2312" w:cs="Times New Roman"/>
          <w:color w:val="auto"/>
          <w:sz w:val="28"/>
          <w:szCs w:val="20"/>
          <w:highlight w:val="none"/>
          <w:lang w:val="en-US" w:eastAsia="zh-CN"/>
        </w:rPr>
        <w:t>；</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olor w:val="auto"/>
          <w:sz w:val="28"/>
          <w:szCs w:val="20"/>
          <w:highlight w:val="none"/>
        </w:rPr>
        <w:t>（</w:t>
      </w:r>
      <w:r>
        <w:rPr>
          <w:rFonts w:hint="eastAsia" w:ascii="仿宋_GB2312" w:hAnsi="Times New Roman" w:eastAsia="仿宋_GB2312"/>
          <w:color w:val="auto"/>
          <w:sz w:val="28"/>
          <w:szCs w:val="20"/>
          <w:highlight w:val="none"/>
          <w:lang w:val="en-US" w:eastAsia="zh-CN"/>
        </w:rPr>
        <w:t>4</w:t>
      </w:r>
      <w:r>
        <w:rPr>
          <w:rFonts w:hint="eastAsia" w:ascii="仿宋_GB2312" w:hAnsi="Times New Roman" w:eastAsia="仿宋_GB2312"/>
          <w:color w:val="auto"/>
          <w:sz w:val="28"/>
          <w:szCs w:val="20"/>
          <w:highlight w:val="none"/>
        </w:rPr>
        <w:t>）</w:t>
      </w:r>
      <w:r>
        <w:rPr>
          <w:rFonts w:hint="eastAsia" w:ascii="仿宋_GB2312" w:hAnsi="Times New Roman" w:eastAsia="仿宋_GB2312" w:cs="Times New Roman"/>
          <w:color w:val="auto"/>
          <w:sz w:val="28"/>
          <w:szCs w:val="20"/>
          <w:highlight w:val="none"/>
          <w:lang w:val="en-US" w:eastAsia="zh-CN"/>
        </w:rPr>
        <w:t>根据设计回复，屋面层</w:t>
      </w:r>
      <w:r>
        <w:rPr>
          <w:rFonts w:hint="default" w:ascii="仿宋_GB2312" w:hAnsi="Times New Roman" w:eastAsia="仿宋_GB2312" w:cs="Times New Roman"/>
          <w:color w:val="auto"/>
          <w:sz w:val="28"/>
          <w:szCs w:val="20"/>
          <w:highlight w:val="none"/>
          <w:lang w:val="en-US" w:eastAsia="zh-CN"/>
        </w:rPr>
        <w:t>细叶雪茄花</w:t>
      </w:r>
      <w:r>
        <w:rPr>
          <w:rFonts w:hint="eastAsia" w:ascii="仿宋_GB2312" w:hAnsi="Times New Roman" w:eastAsia="仿宋_GB2312" w:cs="Times New Roman"/>
          <w:color w:val="auto"/>
          <w:sz w:val="28"/>
          <w:szCs w:val="20"/>
          <w:highlight w:val="none"/>
          <w:lang w:val="en-US" w:eastAsia="zh-CN"/>
        </w:rPr>
        <w:t>及</w:t>
      </w:r>
      <w:r>
        <w:rPr>
          <w:rFonts w:hint="default" w:ascii="仿宋_GB2312" w:hAnsi="Times New Roman" w:eastAsia="仿宋_GB2312" w:cs="Times New Roman"/>
          <w:color w:val="auto"/>
          <w:sz w:val="28"/>
          <w:szCs w:val="20"/>
          <w:highlight w:val="none"/>
          <w:lang w:val="en-US" w:eastAsia="zh-CN"/>
        </w:rPr>
        <w:t>胡椒木</w:t>
      </w:r>
      <w:r>
        <w:rPr>
          <w:rFonts w:hint="eastAsia" w:ascii="仿宋_GB2312" w:hAnsi="Times New Roman" w:eastAsia="仿宋_GB2312" w:cs="Times New Roman"/>
          <w:color w:val="auto"/>
          <w:sz w:val="28"/>
          <w:szCs w:val="20"/>
          <w:highlight w:val="none"/>
          <w:lang w:val="en-US" w:eastAsia="zh-CN"/>
        </w:rPr>
        <w:t>按首层规格及密度统一。</w:t>
      </w:r>
    </w:p>
    <w:p>
      <w:pPr>
        <w:pStyle w:val="3"/>
        <w:keepNext w:val="0"/>
        <w:keepLines w:val="0"/>
        <w:pageBreakBefore w:val="0"/>
        <w:kinsoku/>
        <w:wordWrap/>
        <w:overflowPunct/>
        <w:topLinePunct w:val="0"/>
        <w:bidi w:val="0"/>
        <w:snapToGrid/>
        <w:spacing w:line="536" w:lineRule="exact"/>
        <w:ind w:firstLine="568" w:firstLineChars="202"/>
        <w:jc w:val="left"/>
        <w:textAlignment w:val="auto"/>
        <w:outlineLvl w:val="2"/>
        <w:rPr>
          <w:rFonts w:hint="eastAsia" w:ascii="仿宋_GB2312" w:hAnsi="Times New Roman" w:eastAsia="仿宋_GB2312"/>
          <w:b/>
          <w:bCs/>
          <w:color w:val="auto"/>
          <w:sz w:val="28"/>
          <w:szCs w:val="20"/>
          <w:highlight w:val="none"/>
        </w:rPr>
      </w:pPr>
      <w:r>
        <w:rPr>
          <w:rFonts w:hint="eastAsia" w:ascii="仿宋_GB2312" w:hAnsi="Times New Roman" w:eastAsia="仿宋_GB2312"/>
          <w:b/>
          <w:bCs/>
          <w:color w:val="auto"/>
          <w:sz w:val="28"/>
          <w:szCs w:val="20"/>
          <w:highlight w:val="none"/>
          <w:lang w:val="en-US" w:eastAsia="zh-CN"/>
        </w:rPr>
        <w:t>3</w:t>
      </w:r>
      <w:r>
        <w:rPr>
          <w:rFonts w:hint="eastAsia" w:ascii="仿宋_GB2312" w:hAnsi="Times New Roman" w:eastAsia="仿宋_GB2312"/>
          <w:b/>
          <w:bCs/>
          <w:color w:val="auto"/>
          <w:sz w:val="28"/>
          <w:szCs w:val="20"/>
          <w:highlight w:val="none"/>
        </w:rPr>
        <w:t>、</w:t>
      </w:r>
      <w:r>
        <w:rPr>
          <w:rFonts w:hint="eastAsia" w:ascii="仿宋_GB2312" w:hAnsi="Times New Roman" w:eastAsia="仿宋_GB2312"/>
          <w:b/>
          <w:bCs/>
          <w:color w:val="auto"/>
          <w:sz w:val="28"/>
          <w:szCs w:val="20"/>
          <w:highlight w:val="none"/>
          <w:lang w:val="en-US" w:eastAsia="zh-CN"/>
        </w:rPr>
        <w:t>室外排水</w:t>
      </w:r>
      <w:r>
        <w:rPr>
          <w:rFonts w:hint="eastAsia" w:ascii="仿宋_GB2312" w:hAnsi="Times New Roman" w:eastAsia="仿宋_GB2312"/>
          <w:b/>
          <w:bCs/>
          <w:color w:val="auto"/>
          <w:sz w:val="28"/>
          <w:szCs w:val="20"/>
          <w:highlight w:val="none"/>
        </w:rPr>
        <w:t>工程</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rPr>
        <w:t>（</w:t>
      </w:r>
      <w:r>
        <w:rPr>
          <w:rFonts w:hint="eastAsia" w:ascii="仿宋_GB2312" w:hAnsi="Times New Roman" w:eastAsia="仿宋_GB2312" w:cs="Times New Roman"/>
          <w:color w:val="auto"/>
          <w:sz w:val="28"/>
          <w:szCs w:val="20"/>
          <w:highlight w:val="none"/>
          <w:lang w:val="en-US" w:eastAsia="zh-CN"/>
        </w:rPr>
        <w:t>1</w:t>
      </w:r>
      <w:r>
        <w:rPr>
          <w:rFonts w:hint="eastAsia" w:ascii="仿宋_GB2312" w:hAnsi="Times New Roman" w:eastAsia="仿宋_GB2312" w:cs="Times New Roman"/>
          <w:color w:val="auto"/>
          <w:sz w:val="28"/>
          <w:szCs w:val="20"/>
          <w:highlight w:val="none"/>
          <w:lang w:eastAsia="zh-CN"/>
        </w:rPr>
        <w:t>）</w:t>
      </w:r>
      <w:r>
        <w:rPr>
          <w:rFonts w:hint="eastAsia" w:ascii="仿宋_GB2312" w:hAnsi="Times New Roman" w:eastAsia="仿宋_GB2312" w:cs="Times New Roman"/>
          <w:color w:val="auto"/>
          <w:sz w:val="28"/>
          <w:szCs w:val="20"/>
          <w:highlight w:val="none"/>
          <w:lang w:val="en-US" w:eastAsia="zh-CN"/>
        </w:rPr>
        <w:t>管径&lt;=500的柔性管，单侧工作面暂按300mm考虑；</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default"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rPr>
        <w:t>（</w:t>
      </w:r>
      <w:r>
        <w:rPr>
          <w:rFonts w:hint="eastAsia" w:ascii="仿宋_GB2312" w:hAnsi="Times New Roman" w:eastAsia="仿宋_GB2312" w:cs="Times New Roman"/>
          <w:color w:val="auto"/>
          <w:sz w:val="28"/>
          <w:szCs w:val="20"/>
          <w:highlight w:val="none"/>
          <w:lang w:val="en-US" w:eastAsia="zh-CN"/>
        </w:rPr>
        <w:t>2</w:t>
      </w:r>
      <w:r>
        <w:rPr>
          <w:rFonts w:hint="eastAsia" w:ascii="仿宋_GB2312" w:hAnsi="Times New Roman" w:eastAsia="仿宋_GB2312" w:cs="Times New Roman"/>
          <w:color w:val="auto"/>
          <w:sz w:val="28"/>
          <w:szCs w:val="20"/>
          <w:highlight w:val="none"/>
          <w:lang w:eastAsia="zh-CN"/>
        </w:rPr>
        <w:t>）</w:t>
      </w:r>
      <w:r>
        <w:rPr>
          <w:rFonts w:hint="eastAsia" w:ascii="仿宋_GB2312" w:hAnsi="Times New Roman" w:eastAsia="仿宋_GB2312" w:cs="Times New Roman"/>
          <w:color w:val="auto"/>
          <w:sz w:val="28"/>
          <w:szCs w:val="20"/>
          <w:highlight w:val="none"/>
          <w:lang w:val="en-US" w:eastAsia="zh-CN"/>
        </w:rPr>
        <w:t>溢流井及雨水口深度暂按1m考虑；</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default"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rPr>
        <w:t>（</w:t>
      </w:r>
      <w:r>
        <w:rPr>
          <w:rFonts w:hint="eastAsia" w:ascii="仿宋_GB2312" w:hAnsi="Times New Roman" w:eastAsia="仿宋_GB2312" w:cs="Times New Roman"/>
          <w:color w:val="auto"/>
          <w:sz w:val="28"/>
          <w:szCs w:val="20"/>
          <w:highlight w:val="none"/>
          <w:lang w:val="en-US" w:eastAsia="zh-CN"/>
        </w:rPr>
        <w:t>3</w:t>
      </w:r>
      <w:r>
        <w:rPr>
          <w:rFonts w:hint="eastAsia" w:ascii="仿宋_GB2312" w:hAnsi="Times New Roman" w:eastAsia="仿宋_GB2312" w:cs="Times New Roman"/>
          <w:color w:val="auto"/>
          <w:sz w:val="28"/>
          <w:szCs w:val="20"/>
          <w:highlight w:val="none"/>
          <w:lang w:eastAsia="zh-CN"/>
        </w:rPr>
        <w:t>）</w:t>
      </w:r>
      <w:r>
        <w:rPr>
          <w:rFonts w:hint="eastAsia" w:ascii="仿宋_GB2312" w:hAnsi="Times New Roman" w:eastAsia="仿宋_GB2312" w:cs="Times New Roman"/>
          <w:color w:val="auto"/>
          <w:sz w:val="28"/>
          <w:szCs w:val="20"/>
          <w:highlight w:val="none"/>
          <w:lang w:val="en-US" w:eastAsia="zh-CN"/>
        </w:rPr>
        <w:t>根据设计回复，</w:t>
      </w:r>
      <w:r>
        <w:rPr>
          <w:rFonts w:hint="default" w:ascii="仿宋_GB2312" w:hAnsi="Times New Roman" w:eastAsia="仿宋_GB2312" w:cs="Times New Roman"/>
          <w:color w:val="auto"/>
          <w:sz w:val="28"/>
          <w:szCs w:val="20"/>
          <w:highlight w:val="none"/>
          <w:lang w:val="en-US" w:eastAsia="zh-CN"/>
        </w:rPr>
        <w:t>雨水口连接管</w:t>
      </w:r>
      <w:r>
        <w:rPr>
          <w:rFonts w:hint="eastAsia" w:ascii="仿宋_GB2312" w:hAnsi="Times New Roman" w:eastAsia="仿宋_GB2312" w:cs="Times New Roman"/>
          <w:color w:val="auto"/>
          <w:sz w:val="28"/>
          <w:szCs w:val="20"/>
          <w:highlight w:val="none"/>
          <w:lang w:val="en-US" w:eastAsia="zh-CN"/>
        </w:rPr>
        <w:t>为</w:t>
      </w:r>
      <w:r>
        <w:rPr>
          <w:rFonts w:hint="default" w:ascii="仿宋_GB2312" w:hAnsi="Times New Roman" w:eastAsia="仿宋_GB2312" w:cs="Times New Roman"/>
          <w:color w:val="auto"/>
          <w:sz w:val="28"/>
          <w:szCs w:val="20"/>
          <w:highlight w:val="none"/>
          <w:lang w:val="en-US" w:eastAsia="zh-CN"/>
        </w:rPr>
        <w:t>DN200UPVC双壁波纹管</w:t>
      </w:r>
      <w:r>
        <w:rPr>
          <w:rFonts w:hint="eastAsia" w:ascii="仿宋_GB2312" w:hAnsi="Times New Roman" w:eastAsia="仿宋_GB2312" w:cs="Times New Roman"/>
          <w:color w:val="auto"/>
          <w:sz w:val="28"/>
          <w:szCs w:val="20"/>
          <w:highlight w:val="none"/>
          <w:lang w:val="en-US" w:eastAsia="zh-CN"/>
        </w:rPr>
        <w:t>；</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default"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rPr>
        <w:t>（</w:t>
      </w:r>
      <w:r>
        <w:rPr>
          <w:rFonts w:hint="eastAsia" w:ascii="仿宋_GB2312" w:hAnsi="Times New Roman" w:eastAsia="仿宋_GB2312" w:cs="Times New Roman"/>
          <w:color w:val="auto"/>
          <w:sz w:val="28"/>
          <w:szCs w:val="20"/>
          <w:highlight w:val="none"/>
          <w:lang w:val="en-US" w:eastAsia="zh-CN"/>
        </w:rPr>
        <w:t>4</w:t>
      </w:r>
      <w:r>
        <w:rPr>
          <w:rFonts w:hint="eastAsia" w:ascii="仿宋_GB2312" w:hAnsi="Times New Roman" w:eastAsia="仿宋_GB2312" w:cs="Times New Roman"/>
          <w:color w:val="auto"/>
          <w:sz w:val="28"/>
          <w:szCs w:val="20"/>
          <w:highlight w:val="none"/>
          <w:lang w:eastAsia="zh-CN"/>
        </w:rPr>
        <w:t>）</w:t>
      </w:r>
      <w:r>
        <w:rPr>
          <w:rFonts w:hint="eastAsia" w:ascii="仿宋_GB2312" w:hAnsi="Times New Roman" w:eastAsia="仿宋_GB2312" w:cs="Times New Roman"/>
          <w:color w:val="auto"/>
          <w:sz w:val="28"/>
          <w:szCs w:val="20"/>
          <w:highlight w:val="none"/>
          <w:lang w:val="en-US" w:eastAsia="zh-CN"/>
        </w:rPr>
        <w:t>根据设计回复，</w:t>
      </w:r>
      <w:r>
        <w:rPr>
          <w:rFonts w:hint="default" w:ascii="仿宋_GB2312" w:hAnsi="Times New Roman" w:eastAsia="仿宋_GB2312" w:cs="Times New Roman"/>
          <w:color w:val="auto"/>
          <w:sz w:val="28"/>
          <w:szCs w:val="20"/>
          <w:highlight w:val="none"/>
          <w:lang w:val="en-US" w:eastAsia="zh-CN"/>
        </w:rPr>
        <w:t>雨、污、废水管道都要</w:t>
      </w:r>
      <w:r>
        <w:rPr>
          <w:rFonts w:hint="eastAsia" w:ascii="仿宋_GB2312" w:hAnsi="Times New Roman" w:eastAsia="仿宋_GB2312" w:cs="Times New Roman"/>
          <w:color w:val="auto"/>
          <w:sz w:val="28"/>
          <w:szCs w:val="20"/>
          <w:highlight w:val="none"/>
          <w:lang w:val="en-US" w:eastAsia="zh-CN"/>
        </w:rPr>
        <w:t>做</w:t>
      </w:r>
      <w:r>
        <w:rPr>
          <w:rFonts w:hint="default" w:ascii="仿宋_GB2312" w:hAnsi="Times New Roman" w:eastAsia="仿宋_GB2312" w:cs="Times New Roman"/>
          <w:color w:val="auto"/>
          <w:sz w:val="28"/>
          <w:szCs w:val="20"/>
          <w:highlight w:val="none"/>
          <w:lang w:val="en-US" w:eastAsia="zh-CN"/>
        </w:rPr>
        <w:t>闭水实验</w:t>
      </w:r>
      <w:r>
        <w:rPr>
          <w:rFonts w:hint="eastAsia" w:ascii="仿宋_GB2312" w:hAnsi="Times New Roman" w:eastAsia="仿宋_GB2312" w:cs="Times New Roman"/>
          <w:color w:val="auto"/>
          <w:sz w:val="28"/>
          <w:szCs w:val="20"/>
          <w:highlight w:val="none"/>
          <w:lang w:val="en-US" w:eastAsia="zh-CN"/>
        </w:rPr>
        <w:t>；</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rPr>
        <w:t>（</w:t>
      </w:r>
      <w:r>
        <w:rPr>
          <w:rFonts w:hint="eastAsia" w:ascii="仿宋_GB2312" w:hAnsi="Times New Roman" w:eastAsia="仿宋_GB2312" w:cs="Times New Roman"/>
          <w:color w:val="auto"/>
          <w:sz w:val="28"/>
          <w:szCs w:val="20"/>
          <w:highlight w:val="none"/>
          <w:lang w:val="en-US" w:eastAsia="zh-CN"/>
        </w:rPr>
        <w:t>5</w:t>
      </w:r>
      <w:r>
        <w:rPr>
          <w:rFonts w:hint="eastAsia" w:ascii="仿宋_GB2312" w:hAnsi="Times New Roman" w:eastAsia="仿宋_GB2312" w:cs="Times New Roman"/>
          <w:color w:val="auto"/>
          <w:sz w:val="28"/>
          <w:szCs w:val="20"/>
          <w:highlight w:val="none"/>
          <w:lang w:eastAsia="zh-CN"/>
        </w:rPr>
        <w:t>）</w:t>
      </w:r>
      <w:r>
        <w:rPr>
          <w:rFonts w:hint="eastAsia" w:ascii="仿宋_GB2312" w:hAnsi="Times New Roman" w:eastAsia="仿宋_GB2312" w:cs="Times New Roman"/>
          <w:color w:val="auto"/>
          <w:sz w:val="28"/>
          <w:szCs w:val="20"/>
          <w:highlight w:val="none"/>
          <w:lang w:val="en-US" w:eastAsia="zh-CN"/>
        </w:rPr>
        <w:t>根据设计回复，</w:t>
      </w:r>
      <w:r>
        <w:rPr>
          <w:rFonts w:hint="default" w:ascii="仿宋_GB2312" w:hAnsi="Times New Roman" w:eastAsia="仿宋_GB2312" w:cs="Times New Roman"/>
          <w:color w:val="auto"/>
          <w:sz w:val="28"/>
          <w:szCs w:val="20"/>
          <w:highlight w:val="none"/>
          <w:lang w:val="en-US" w:eastAsia="zh-CN"/>
        </w:rPr>
        <w:t>雨水口</w:t>
      </w:r>
      <w:r>
        <w:rPr>
          <w:rFonts w:hint="eastAsia" w:ascii="仿宋_GB2312" w:hAnsi="Times New Roman" w:eastAsia="仿宋_GB2312" w:cs="Times New Roman"/>
          <w:color w:val="auto"/>
          <w:sz w:val="28"/>
          <w:szCs w:val="20"/>
          <w:highlight w:val="none"/>
          <w:lang w:val="en-US" w:eastAsia="zh-CN"/>
        </w:rPr>
        <w:t>为钢筋混凝土做法。</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firstLine="560" w:firstLineChars="200"/>
        <w:jc w:val="left"/>
        <w:textAlignment w:val="auto"/>
        <w:rPr>
          <w:rFonts w:hint="eastAsia" w:ascii="仿宋_GB2312" w:hAnsi="Times New Roman" w:eastAsia="仿宋_GB2312" w:cs="Times New Roman"/>
          <w:color w:val="auto"/>
          <w:sz w:val="28"/>
          <w:szCs w:val="20"/>
          <w:highlight w:val="none"/>
          <w:lang w:eastAsia="zh-CN"/>
        </w:rPr>
      </w:pPr>
      <w:r>
        <w:rPr>
          <w:rFonts w:hint="eastAsia" w:ascii="仿宋_GB2312" w:hAnsi="Times New Roman" w:eastAsia="仿宋_GB2312" w:cs="Times New Roman"/>
          <w:color w:val="auto"/>
          <w:sz w:val="28"/>
          <w:szCs w:val="20"/>
          <w:highlight w:val="none"/>
        </w:rPr>
        <w:t>（</w:t>
      </w:r>
      <w:r>
        <w:rPr>
          <w:rFonts w:hint="eastAsia" w:ascii="仿宋_GB2312" w:hAnsi="Times New Roman" w:eastAsia="仿宋_GB2312" w:cs="Times New Roman"/>
          <w:color w:val="auto"/>
          <w:sz w:val="28"/>
          <w:szCs w:val="20"/>
          <w:highlight w:val="none"/>
          <w:lang w:val="en-US" w:eastAsia="zh-CN"/>
        </w:rPr>
        <w:t>6</w:t>
      </w:r>
      <w:r>
        <w:rPr>
          <w:rFonts w:hint="eastAsia" w:ascii="仿宋_GB2312" w:hAnsi="Times New Roman" w:eastAsia="仿宋_GB2312" w:cs="Times New Roman"/>
          <w:color w:val="auto"/>
          <w:sz w:val="28"/>
          <w:szCs w:val="20"/>
          <w:highlight w:val="none"/>
          <w:lang w:eastAsia="zh-CN"/>
        </w:rPr>
        <w:t>）</w:t>
      </w:r>
      <w:r>
        <w:rPr>
          <w:rFonts w:hint="eastAsia" w:ascii="仿宋_GB2312" w:hAnsi="Times New Roman" w:eastAsia="仿宋_GB2312" w:cs="Times New Roman"/>
          <w:color w:val="auto"/>
          <w:sz w:val="28"/>
          <w:szCs w:val="20"/>
          <w:highlight w:val="none"/>
          <w:lang w:val="en-US" w:eastAsia="zh-CN"/>
        </w:rPr>
        <w:t>DN600</w:t>
      </w:r>
      <w:r>
        <w:rPr>
          <w:rFonts w:hint="eastAsia" w:ascii="仿宋_GB2312" w:hAnsi="Times New Roman" w:eastAsia="仿宋_GB2312" w:cs="Times New Roman"/>
          <w:color w:val="auto"/>
          <w:sz w:val="28"/>
          <w:szCs w:val="20"/>
          <w:highlight w:val="none"/>
          <w:lang w:eastAsia="zh-CN"/>
        </w:rPr>
        <w:t>Ⅲ级钢筋混凝土雨水接线有管线部分管长为暂定，</w:t>
      </w:r>
      <w:r>
        <w:rPr>
          <w:rFonts w:hint="eastAsia" w:ascii="仿宋_GB2312" w:hAnsi="Times New Roman" w:eastAsia="仿宋_GB2312" w:cs="Times New Roman"/>
          <w:color w:val="auto"/>
          <w:sz w:val="28"/>
          <w:szCs w:val="20"/>
          <w:highlight w:val="none"/>
          <w:lang w:val="en-US" w:eastAsia="zh-CN"/>
        </w:rPr>
        <w:t>具</w:t>
      </w:r>
      <w:r>
        <w:rPr>
          <w:rFonts w:hint="eastAsia" w:ascii="仿宋_GB2312" w:hAnsi="Times New Roman" w:eastAsia="仿宋_GB2312" w:cs="Times New Roman"/>
          <w:color w:val="auto"/>
          <w:sz w:val="28"/>
          <w:szCs w:val="20"/>
          <w:highlight w:val="none"/>
          <w:lang w:eastAsia="zh-CN"/>
        </w:rPr>
        <w:t>体长度据实验收结算。</w:t>
      </w:r>
    </w:p>
    <w:p>
      <w:pPr>
        <w:keepNext w:val="0"/>
        <w:keepLines w:val="0"/>
        <w:pageBreakBefore w:val="0"/>
        <w:numPr>
          <w:ilvl w:val="0"/>
          <w:numId w:val="0"/>
        </w:numPr>
        <w:kinsoku/>
        <w:wordWrap/>
        <w:overflowPunct/>
        <w:topLinePunct w:val="0"/>
        <w:autoSpaceDE w:val="0"/>
        <w:autoSpaceDN w:val="0"/>
        <w:bidi w:val="0"/>
        <w:adjustRightInd w:val="0"/>
        <w:snapToGrid/>
        <w:spacing w:line="536" w:lineRule="exact"/>
        <w:ind w:left="1400" w:leftChars="200" w:hanging="840" w:hangingChars="300"/>
        <w:jc w:val="left"/>
        <w:textAlignment w:val="auto"/>
        <w:rPr>
          <w:rFonts w:hint="default" w:ascii="仿宋_GB2312"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rPr>
        <w:t>（</w:t>
      </w:r>
      <w:r>
        <w:rPr>
          <w:rFonts w:hint="eastAsia" w:ascii="仿宋_GB2312" w:eastAsia="仿宋_GB2312" w:cs="Times New Roman"/>
          <w:color w:val="auto"/>
          <w:sz w:val="28"/>
          <w:szCs w:val="20"/>
          <w:highlight w:val="none"/>
          <w:lang w:val="en-US" w:eastAsia="zh-CN"/>
        </w:rPr>
        <w:t>7</w:t>
      </w:r>
      <w:r>
        <w:rPr>
          <w:rFonts w:hint="eastAsia" w:ascii="仿宋_GB2312" w:hAnsi="Times New Roman" w:eastAsia="仿宋_GB2312" w:cs="Times New Roman"/>
          <w:color w:val="auto"/>
          <w:sz w:val="28"/>
          <w:szCs w:val="20"/>
          <w:highlight w:val="none"/>
          <w:lang w:eastAsia="zh-CN"/>
        </w:rPr>
        <w:t>）</w:t>
      </w:r>
      <w:r>
        <w:rPr>
          <w:rFonts w:hint="eastAsia" w:ascii="仿宋_GB2312" w:eastAsia="仿宋_GB2312" w:cs="Times New Roman"/>
          <w:color w:val="auto"/>
          <w:sz w:val="28"/>
          <w:szCs w:val="20"/>
          <w:highlight w:val="none"/>
          <w:lang w:val="en-US" w:eastAsia="zh-CN"/>
        </w:rPr>
        <w:t>管沟开挖回填大样按设计最新回复。</w:t>
      </w:r>
    </w:p>
    <w:p>
      <w:pPr>
        <w:keepNext w:val="0"/>
        <w:keepLines w:val="0"/>
        <w:pageBreakBefore w:val="0"/>
        <w:kinsoku/>
        <w:wordWrap/>
        <w:overflowPunct/>
        <w:topLinePunct w:val="0"/>
        <w:autoSpaceDE w:val="0"/>
        <w:autoSpaceDN w:val="0"/>
        <w:bidi w:val="0"/>
        <w:adjustRightInd w:val="0"/>
        <w:snapToGrid/>
        <w:spacing w:line="536" w:lineRule="exact"/>
        <w:jc w:val="left"/>
        <w:textAlignment w:val="auto"/>
        <w:rPr>
          <w:rFonts w:hint="eastAsia" w:ascii="仿宋_GB2312" w:hAnsi="Times New Roman" w:eastAsia="仿宋_GB2312" w:cs="Times New Roman"/>
          <w:b/>
          <w:color w:val="auto"/>
          <w:sz w:val="28"/>
          <w:highlight w:val="none"/>
          <w:lang w:eastAsia="zh-CN"/>
        </w:rPr>
      </w:pPr>
      <w:r>
        <w:rPr>
          <w:rFonts w:hint="eastAsia" w:ascii="仿宋_GB2312" w:hAnsi="Times New Roman" w:eastAsia="仿宋_GB2312" w:cs="Times New Roman"/>
          <w:b/>
          <w:color w:val="auto"/>
          <w:sz w:val="28"/>
          <w:highlight w:val="none"/>
          <w:lang w:eastAsia="zh-CN"/>
        </w:rPr>
        <w:t>（</w:t>
      </w:r>
      <w:r>
        <w:rPr>
          <w:rFonts w:hint="eastAsia" w:ascii="仿宋_GB2312" w:hAnsi="Times New Roman" w:eastAsia="仿宋_GB2312" w:cs="Times New Roman"/>
          <w:b/>
          <w:color w:val="auto"/>
          <w:sz w:val="28"/>
          <w:highlight w:val="none"/>
          <w:lang w:val="en-US" w:eastAsia="zh-CN"/>
        </w:rPr>
        <w:t>四</w:t>
      </w:r>
      <w:r>
        <w:rPr>
          <w:rFonts w:hint="eastAsia" w:ascii="仿宋_GB2312" w:hAnsi="Times New Roman" w:eastAsia="仿宋_GB2312" w:cs="Times New Roman"/>
          <w:b/>
          <w:color w:val="auto"/>
          <w:sz w:val="28"/>
          <w:highlight w:val="none"/>
          <w:lang w:eastAsia="zh-CN"/>
        </w:rPr>
        <w:t>）安装工程说明：</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eastAsia" w:ascii="仿宋_GB2312" w:hAnsi="Times New Roman" w:eastAsia="仿宋_GB2312"/>
          <w:color w:val="auto"/>
          <w:sz w:val="28"/>
          <w:szCs w:val="20"/>
          <w:highlight w:val="none"/>
        </w:rPr>
      </w:pPr>
      <w:r>
        <w:rPr>
          <w:rFonts w:hint="eastAsia" w:ascii="仿宋_GB2312" w:hAnsi="Times New Roman" w:eastAsia="仿宋_GB2312"/>
          <w:color w:val="auto"/>
          <w:sz w:val="28"/>
          <w:szCs w:val="20"/>
          <w:highlight w:val="none"/>
        </w:rPr>
        <w:t>1、电气工程：</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eastAsia" w:ascii="仿宋_GB2312" w:hAnsi="Times New Roman" w:eastAsia="仿宋_GB2312"/>
          <w:color w:val="auto"/>
          <w:sz w:val="28"/>
          <w:szCs w:val="20"/>
          <w:highlight w:val="none"/>
        </w:rPr>
      </w:pPr>
      <w:r>
        <w:rPr>
          <w:rFonts w:hint="eastAsia" w:ascii="仿宋_GB2312" w:hAnsi="Times New Roman" w:eastAsia="仿宋_GB2312"/>
          <w:color w:val="auto"/>
          <w:sz w:val="28"/>
          <w:szCs w:val="20"/>
          <w:highlight w:val="none"/>
          <w:lang w:eastAsia="zh-CN"/>
        </w:rPr>
        <w:t>（</w:t>
      </w:r>
      <w:r>
        <w:rPr>
          <w:rFonts w:hint="eastAsia" w:ascii="仿宋_GB2312" w:hAnsi="Times New Roman" w:eastAsia="仿宋_GB2312"/>
          <w:color w:val="auto"/>
          <w:sz w:val="28"/>
          <w:szCs w:val="20"/>
          <w:highlight w:val="none"/>
          <w:lang w:val="en-US" w:eastAsia="zh-CN"/>
        </w:rPr>
        <w:t>1）</w:t>
      </w:r>
      <w:r>
        <w:rPr>
          <w:rFonts w:hint="eastAsia" w:ascii="仿宋_GB2312" w:hAnsi="Times New Roman" w:eastAsia="仿宋_GB2312"/>
          <w:color w:val="auto"/>
          <w:sz w:val="28"/>
          <w:szCs w:val="20"/>
          <w:highlight w:val="none"/>
        </w:rPr>
        <w:t>配电房内电缆按20米预留；不含开关站内设备，不含潜水泵控制箱XQS4出线防水线缆（厂家配套），不含卷帘按钮及控制线；</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eastAsia" w:ascii="仿宋_GB2312" w:hAnsi="Times New Roman" w:eastAsia="仿宋_GB2312"/>
          <w:color w:val="auto"/>
          <w:sz w:val="28"/>
          <w:szCs w:val="20"/>
          <w:highlight w:val="none"/>
          <w:lang w:val="en-US" w:eastAsia="zh-CN"/>
        </w:rPr>
      </w:pPr>
      <w:r>
        <w:rPr>
          <w:rFonts w:hint="eastAsia" w:ascii="仿宋_GB2312" w:hAnsi="Times New Roman" w:eastAsia="仿宋_GB2312"/>
          <w:color w:val="auto"/>
          <w:sz w:val="28"/>
          <w:szCs w:val="20"/>
          <w:highlight w:val="none"/>
          <w:lang w:eastAsia="zh-CN"/>
        </w:rPr>
        <w:t>（</w:t>
      </w:r>
      <w:r>
        <w:rPr>
          <w:rFonts w:hint="eastAsia" w:ascii="仿宋_GB2312" w:hAnsi="Times New Roman" w:eastAsia="仿宋_GB2312"/>
          <w:color w:val="auto"/>
          <w:sz w:val="28"/>
          <w:szCs w:val="20"/>
          <w:highlight w:val="none"/>
          <w:lang w:val="en-US" w:eastAsia="zh-CN"/>
        </w:rPr>
        <w:t>2）室外电气沟槽回填全部按原土回填考虑；</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default" w:ascii="仿宋_GB2312" w:hAnsi="Times New Roman" w:eastAsia="仿宋_GB2312"/>
          <w:color w:val="auto"/>
          <w:sz w:val="28"/>
          <w:szCs w:val="20"/>
          <w:highlight w:val="none"/>
          <w:lang w:val="en-US" w:eastAsia="zh-CN"/>
        </w:rPr>
      </w:pPr>
      <w:r>
        <w:rPr>
          <w:rFonts w:hint="eastAsia" w:ascii="仿宋_GB2312" w:hAnsi="Times New Roman" w:eastAsia="仿宋_GB2312"/>
          <w:color w:val="auto"/>
          <w:sz w:val="28"/>
          <w:szCs w:val="20"/>
          <w:highlight w:val="none"/>
          <w:lang w:val="en-US" w:eastAsia="zh-CN"/>
        </w:rPr>
        <w:t>（3）变配电房及柴油发电机工程中的照明、防雷、通风及消防在主体中统一计算；</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eastAsia" w:ascii="仿宋_GB2312" w:hAnsi="Times New Roman" w:eastAsia="仿宋_GB2312"/>
          <w:color w:val="auto"/>
          <w:sz w:val="28"/>
          <w:szCs w:val="20"/>
          <w:highlight w:val="none"/>
          <w:lang w:val="en-US" w:eastAsia="zh-CN"/>
        </w:rPr>
      </w:pPr>
      <w:r>
        <w:rPr>
          <w:rFonts w:hint="eastAsia" w:ascii="仿宋_GB2312" w:hAnsi="Times New Roman" w:eastAsia="仿宋_GB2312"/>
          <w:color w:val="auto"/>
          <w:sz w:val="28"/>
          <w:szCs w:val="20"/>
          <w:highlight w:val="none"/>
        </w:rPr>
        <w:t>2、暖通工程：按图计算，不含排油烟系统的设备及管道</w:t>
      </w:r>
      <w:r>
        <w:rPr>
          <w:rFonts w:hint="eastAsia" w:ascii="仿宋_GB2312" w:hAnsi="Times New Roman" w:eastAsia="仿宋_GB2312"/>
          <w:color w:val="auto"/>
          <w:sz w:val="28"/>
          <w:szCs w:val="20"/>
          <w:highlight w:val="none"/>
          <w:lang w:val="en-US" w:eastAsia="zh-CN"/>
        </w:rPr>
        <w:t>等；</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3、给排水：</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（1）室外给水：从市政给水管接驳口开始计算至建筑外墙，包括室外生活给水、消防给水以及园林给水，室外消防车取水口按室外消火栓计算；</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（2）室内给水：包括生活水泵房设备、给水管道、阀门、洁具；</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default"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（3）室内排水：包括雨水系统、生活污水系统、压力排水以及冷凝水排水系统，排水穿楼板按阻火圈计算，穿空调板位置不考虑套管。</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4、消防工程</w:t>
      </w:r>
    </w:p>
    <w:p>
      <w:pPr>
        <w:pStyle w:val="3"/>
        <w:keepNext w:val="0"/>
        <w:keepLines w:val="0"/>
        <w:pageBreakBefore w:val="0"/>
        <w:kinsoku/>
        <w:wordWrap/>
        <w:overflowPunct/>
        <w:topLinePunct w:val="0"/>
        <w:bidi w:val="0"/>
        <w:snapToGrid/>
        <w:spacing w:line="536" w:lineRule="exact"/>
        <w:ind w:firstLine="560" w:firstLineChars="200"/>
        <w:jc w:val="both"/>
        <w:textAlignment w:val="auto"/>
        <w:outlineLvl w:val="2"/>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（1）消火栓系统：经设计确认，室内消火栓箱尺寸按700*240*1800计算；</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（2）喷淋系统：2层以下及管井干管按热浸镀锌加厚钢管计算，3层及3层以上按热浸镀锌钢管计算；</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default"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（3）自动报警系统：包括火灾自动报警系统、防火门监控系统、余压监控系统、电气火灾监控系统、消防电源监控系统等。</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5、智能化部分：</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（1）主要设备参数按设计补充的参数表计算；</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（2）网络控制机房未见UPS配电图纸，暂按5000元/项计算，结算以实际发生情况计算；</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（3）停车场出入口道闸按智能一体道闸计算；</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（4）行人通道闸机考虑带人脸识别功能和手动控制开启功能计算；</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（5）智能照明控制仅包含交换机、网关、控制线及配管，不含控制模块，开关执行器、照度传感器、信号防雷器等。</w:t>
      </w:r>
    </w:p>
    <w:p>
      <w:pPr>
        <w:pStyle w:val="5"/>
        <w:keepNext w:val="0"/>
        <w:keepLines w:val="0"/>
        <w:pageBreakBefore w:val="0"/>
        <w:widowControl/>
        <w:suppressLineNumbers w:val="0"/>
        <w:kinsoku/>
        <w:wordWrap/>
        <w:overflowPunct/>
        <w:topLinePunct w:val="0"/>
        <w:bidi w:val="0"/>
        <w:snapToGrid/>
        <w:spacing w:before="0" w:beforeAutospacing="0" w:after="0" w:afterAutospacing="0" w:line="536" w:lineRule="exact"/>
        <w:ind w:left="0" w:right="0" w:firstLine="560" w:firstLineChars="200"/>
        <w:textAlignment w:val="auto"/>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（6）经咨询设计，</w:t>
      </w:r>
      <w:r>
        <w:rPr>
          <w:rFonts w:hint="eastAsia" w:ascii="仿宋_GB2312" w:hAnsi="Times New Roman" w:eastAsia="仿宋_GB2312" w:cs="Times New Roman"/>
          <w:color w:val="auto"/>
          <w:sz w:val="28"/>
          <w:szCs w:val="20"/>
          <w:highlight w:val="none"/>
          <w:lang w:val="en-US" w:eastAsia="zh-CN"/>
        </w:rPr>
        <w:t>16路网络硬盘录像机中设备，需补充4T监控级硬盘。</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6、抗震支架</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default"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抗震支架编制与审核过程中，缺少该部分大样图，暂按12元/m2综合单价估算，经咨询设计单位，在项目实施过程中进行优化，结算时，按优化后的大样图，经相关单位确认后，按实结算。</w:t>
      </w:r>
    </w:p>
    <w:p>
      <w:pPr>
        <w:pStyle w:val="3"/>
        <w:keepNext w:val="0"/>
        <w:keepLines w:val="0"/>
        <w:pageBreakBefore w:val="0"/>
        <w:kinsoku/>
        <w:wordWrap/>
        <w:overflowPunct/>
        <w:topLinePunct w:val="0"/>
        <w:bidi w:val="0"/>
        <w:snapToGrid/>
        <w:spacing w:line="536" w:lineRule="exact"/>
        <w:ind w:firstLine="560" w:firstLineChars="200"/>
        <w:jc w:val="left"/>
        <w:textAlignment w:val="auto"/>
        <w:outlineLvl w:val="2"/>
        <w:rPr>
          <w:rFonts w:hint="eastAsia" w:ascii="仿宋_GB2312" w:hAnsi="Times New Roman" w:eastAsia="仿宋_GB2312" w:cs="Times New Roman"/>
          <w:color w:val="auto"/>
          <w:sz w:val="28"/>
          <w:szCs w:val="20"/>
          <w:highlight w:val="none"/>
          <w:lang w:val="en-US" w:eastAsia="zh-CN"/>
        </w:rPr>
      </w:pPr>
      <w:r>
        <w:rPr>
          <w:rFonts w:hint="eastAsia" w:ascii="仿宋_GB2312" w:hAnsi="Times New Roman" w:eastAsia="仿宋_GB2312" w:cs="Times New Roman"/>
          <w:color w:val="auto"/>
          <w:sz w:val="28"/>
          <w:szCs w:val="20"/>
          <w:highlight w:val="none"/>
          <w:lang w:val="en-US" w:eastAsia="zh-CN"/>
        </w:rPr>
        <w:t>7、预算参考品牌</w:t>
      </w:r>
    </w:p>
    <w:tbl>
      <w:tblPr>
        <w:tblStyle w:val="6"/>
        <w:tblW w:w="8637" w:type="dxa"/>
        <w:jc w:val="center"/>
        <w:tblLayout w:type="fixed"/>
        <w:tblCellMar>
          <w:top w:w="0" w:type="dxa"/>
          <w:left w:w="0" w:type="dxa"/>
          <w:bottom w:w="0" w:type="dxa"/>
          <w:right w:w="0" w:type="dxa"/>
        </w:tblCellMar>
      </w:tblPr>
      <w:tblGrid>
        <w:gridCol w:w="712"/>
        <w:gridCol w:w="1777"/>
        <w:gridCol w:w="3919"/>
        <w:gridCol w:w="2229"/>
      </w:tblGrid>
      <w:tr>
        <w:tblPrEx>
          <w:tblCellMar>
            <w:top w:w="0" w:type="dxa"/>
            <w:left w:w="0" w:type="dxa"/>
            <w:bottom w:w="0" w:type="dxa"/>
            <w:right w:w="0" w:type="dxa"/>
          </w:tblCellMar>
        </w:tblPrEx>
        <w:trPr>
          <w:trHeight w:val="660" w:hRule="atLeast"/>
          <w:tblHeader/>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序号</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材料/设备名称</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本项目材料设备品牌表</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质量及技术要求</w:t>
            </w:r>
          </w:p>
        </w:tc>
      </w:tr>
      <w:tr>
        <w:tblPrEx>
          <w:tblCellMar>
            <w:top w:w="0" w:type="dxa"/>
            <w:left w:w="0" w:type="dxa"/>
            <w:bottom w:w="0" w:type="dxa"/>
            <w:right w:w="0" w:type="dxa"/>
          </w:tblCellMar>
        </w:tblPrEx>
        <w:trPr>
          <w:trHeight w:val="81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仿宋" w:hAnsi="仿宋" w:eastAsia="仿宋" w:cs="仿宋"/>
                <w:color w:val="auto"/>
                <w:sz w:val="22"/>
                <w:highlight w:val="none"/>
                <w:lang w:eastAsia="zh-CN"/>
              </w:rPr>
            </w:pPr>
            <w:r>
              <w:rPr>
                <w:rFonts w:hint="eastAsia" w:ascii="仿宋" w:hAnsi="仿宋" w:eastAsia="仿宋" w:cs="仿宋"/>
                <w:color w:val="auto"/>
                <w:kern w:val="0"/>
                <w:sz w:val="22"/>
                <w:highlight w:val="none"/>
                <w:lang w:val="en-US" w:eastAsia="zh-CN" w:bidi="ar"/>
              </w:rPr>
              <w:t>1</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消防泵、潜污泵</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lang w:eastAsia="zh-CN"/>
              </w:rPr>
            </w:pPr>
            <w:r>
              <w:rPr>
                <w:rFonts w:hint="eastAsia" w:ascii="仿宋" w:hAnsi="仿宋" w:eastAsia="仿宋" w:cs="仿宋"/>
                <w:color w:val="auto"/>
                <w:kern w:val="0"/>
                <w:sz w:val="22"/>
                <w:highlight w:val="none"/>
                <w:lang w:val="en-US" w:eastAsia="zh-CN" w:bidi="ar"/>
              </w:rPr>
              <w:t>东方泵业</w:t>
            </w:r>
            <w:r>
              <w:rPr>
                <w:rFonts w:hint="eastAsia" w:ascii="仿宋" w:hAnsi="仿宋" w:eastAsia="仿宋" w:cs="仿宋"/>
                <w:color w:val="auto"/>
                <w:kern w:val="0"/>
                <w:sz w:val="22"/>
                <w:highlight w:val="none"/>
                <w:lang w:bidi="ar"/>
              </w:rPr>
              <w:t>、广一、</w:t>
            </w:r>
            <w:r>
              <w:rPr>
                <w:rFonts w:hint="eastAsia" w:ascii="仿宋" w:hAnsi="仿宋" w:eastAsia="仿宋" w:cs="仿宋"/>
                <w:color w:val="auto"/>
                <w:kern w:val="0"/>
                <w:sz w:val="22"/>
                <w:highlight w:val="none"/>
                <w:lang w:val="en-US" w:eastAsia="zh-CN" w:bidi="ar"/>
              </w:rPr>
              <w:t>白云</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国标，满足设计及规范压力要求，消防泵取得3c</w:t>
            </w:r>
          </w:p>
        </w:tc>
      </w:tr>
      <w:tr>
        <w:tblPrEx>
          <w:tblCellMar>
            <w:top w:w="0" w:type="dxa"/>
            <w:left w:w="0" w:type="dxa"/>
            <w:bottom w:w="0" w:type="dxa"/>
            <w:right w:w="0" w:type="dxa"/>
          </w:tblCellMar>
        </w:tblPrEx>
        <w:trPr>
          <w:trHeight w:val="50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仿宋" w:hAnsi="仿宋" w:eastAsia="仿宋" w:cs="仿宋"/>
                <w:color w:val="auto"/>
                <w:sz w:val="22"/>
                <w:highlight w:val="none"/>
                <w:lang w:eastAsia="zh-CN"/>
              </w:rPr>
            </w:pPr>
            <w:r>
              <w:rPr>
                <w:rFonts w:hint="eastAsia" w:ascii="仿宋" w:hAnsi="仿宋" w:eastAsia="仿宋" w:cs="仿宋"/>
                <w:color w:val="auto"/>
                <w:kern w:val="0"/>
                <w:sz w:val="22"/>
                <w:highlight w:val="none"/>
                <w:lang w:val="en-US" w:eastAsia="zh-CN" w:bidi="ar"/>
              </w:rPr>
              <w:t>2</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阀门</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lang w:val="en-US" w:eastAsia="zh-CN"/>
              </w:rPr>
            </w:pPr>
            <w:r>
              <w:rPr>
                <w:rFonts w:hint="eastAsia" w:ascii="仿宋" w:hAnsi="仿宋" w:eastAsia="仿宋" w:cs="仿宋"/>
                <w:color w:val="auto"/>
                <w:kern w:val="0"/>
                <w:sz w:val="22"/>
                <w:highlight w:val="none"/>
                <w:lang w:bidi="ar"/>
              </w:rPr>
              <w:t>广州佳福斯、精嘉、</w:t>
            </w:r>
            <w:r>
              <w:rPr>
                <w:rFonts w:hint="eastAsia" w:ascii="仿宋" w:hAnsi="仿宋" w:eastAsia="仿宋" w:cs="仿宋"/>
                <w:color w:val="auto"/>
                <w:kern w:val="0"/>
                <w:sz w:val="22"/>
                <w:highlight w:val="none"/>
                <w:lang w:val="en-US" w:eastAsia="zh-CN" w:bidi="ar"/>
              </w:rPr>
              <w:t>上海标一</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国标</w:t>
            </w:r>
          </w:p>
        </w:tc>
      </w:tr>
      <w:tr>
        <w:tblPrEx>
          <w:tblCellMar>
            <w:top w:w="0" w:type="dxa"/>
            <w:left w:w="0" w:type="dxa"/>
            <w:bottom w:w="0" w:type="dxa"/>
            <w:right w:w="0" w:type="dxa"/>
          </w:tblCellMar>
        </w:tblPrEx>
        <w:trPr>
          <w:trHeight w:val="54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仿宋" w:hAnsi="仿宋" w:eastAsia="仿宋" w:cs="仿宋"/>
                <w:color w:val="auto"/>
                <w:sz w:val="22"/>
                <w:highlight w:val="none"/>
                <w:lang w:val="en-US" w:eastAsia="zh-CN"/>
              </w:rPr>
            </w:pPr>
            <w:r>
              <w:rPr>
                <w:rFonts w:hint="eastAsia" w:ascii="仿宋" w:hAnsi="仿宋" w:eastAsia="仿宋" w:cs="仿宋"/>
                <w:color w:val="auto"/>
                <w:kern w:val="0"/>
                <w:sz w:val="22"/>
                <w:highlight w:val="none"/>
                <w:lang w:val="en-US" w:eastAsia="zh-CN" w:bidi="ar"/>
              </w:rPr>
              <w:t>3</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lang w:val="en-US" w:eastAsia="zh-CN"/>
              </w:rPr>
            </w:pPr>
            <w:r>
              <w:rPr>
                <w:rFonts w:hint="eastAsia" w:ascii="仿宋" w:hAnsi="仿宋" w:eastAsia="仿宋" w:cs="仿宋"/>
                <w:color w:val="auto"/>
                <w:kern w:val="0"/>
                <w:sz w:val="22"/>
                <w:highlight w:val="none"/>
                <w:lang w:val="en-US" w:eastAsia="zh-CN" w:bidi="ar"/>
              </w:rPr>
              <w:t>电</w:t>
            </w:r>
            <w:r>
              <w:rPr>
                <w:rFonts w:hint="eastAsia" w:ascii="仿宋" w:hAnsi="仿宋" w:eastAsia="仿宋" w:cs="仿宋"/>
                <w:color w:val="auto"/>
                <w:kern w:val="0"/>
                <w:sz w:val="22"/>
                <w:highlight w:val="none"/>
                <w:lang w:bidi="ar"/>
              </w:rPr>
              <w:t>箱</w:t>
            </w:r>
            <w:r>
              <w:rPr>
                <w:rFonts w:hint="eastAsia" w:ascii="仿宋" w:hAnsi="仿宋" w:eastAsia="仿宋" w:cs="仿宋"/>
                <w:color w:val="auto"/>
                <w:kern w:val="0"/>
                <w:sz w:val="22"/>
                <w:highlight w:val="none"/>
                <w:lang w:val="en-US" w:eastAsia="zh-CN" w:bidi="ar"/>
              </w:rPr>
              <w:t>电柜</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default" w:ascii="仿宋" w:hAnsi="仿宋" w:eastAsia="仿宋" w:cs="仿宋"/>
                <w:color w:val="auto"/>
                <w:sz w:val="22"/>
                <w:highlight w:val="none"/>
                <w:lang w:val="en-US" w:eastAsia="zh-CN"/>
              </w:rPr>
            </w:pPr>
            <w:r>
              <w:rPr>
                <w:rFonts w:hint="eastAsia" w:ascii="仿宋" w:hAnsi="仿宋" w:eastAsia="仿宋" w:cs="仿宋"/>
                <w:color w:val="auto"/>
                <w:kern w:val="0"/>
                <w:sz w:val="22"/>
                <w:highlight w:val="none"/>
                <w:lang w:val="en-US" w:eastAsia="zh-CN" w:bidi="ar"/>
              </w:rPr>
              <w:t>蔚蓝</w:t>
            </w:r>
            <w:r>
              <w:rPr>
                <w:rFonts w:hint="eastAsia" w:ascii="仿宋" w:hAnsi="仿宋" w:eastAsia="仿宋" w:cs="仿宋"/>
                <w:color w:val="auto"/>
                <w:kern w:val="0"/>
                <w:sz w:val="22"/>
                <w:highlight w:val="none"/>
                <w:lang w:bidi="ar"/>
              </w:rPr>
              <w:t>、</w:t>
            </w:r>
            <w:r>
              <w:rPr>
                <w:rFonts w:hint="eastAsia" w:ascii="仿宋" w:hAnsi="仿宋" w:eastAsia="仿宋" w:cs="仿宋"/>
                <w:color w:val="auto"/>
                <w:kern w:val="0"/>
                <w:sz w:val="22"/>
                <w:highlight w:val="none"/>
                <w:lang w:val="en-US" w:eastAsia="zh-CN" w:bidi="ar"/>
              </w:rPr>
              <w:t>粤特</w:t>
            </w:r>
            <w:r>
              <w:rPr>
                <w:rFonts w:hint="eastAsia" w:ascii="仿宋" w:hAnsi="仿宋" w:eastAsia="仿宋" w:cs="仿宋"/>
                <w:color w:val="auto"/>
                <w:kern w:val="0"/>
                <w:sz w:val="22"/>
                <w:highlight w:val="none"/>
                <w:lang w:bidi="ar"/>
              </w:rPr>
              <w:t>、</w:t>
            </w:r>
            <w:r>
              <w:rPr>
                <w:rFonts w:hint="eastAsia" w:ascii="仿宋" w:hAnsi="仿宋" w:eastAsia="仿宋" w:cs="仿宋"/>
                <w:color w:val="auto"/>
                <w:kern w:val="0"/>
                <w:sz w:val="22"/>
                <w:highlight w:val="none"/>
                <w:lang w:val="en-US" w:eastAsia="zh-CN" w:bidi="ar"/>
              </w:rPr>
              <w:t>维龙新电、德诚、德声、瑞熙恩、中豪</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国标厚度/国标认证</w:t>
            </w:r>
          </w:p>
        </w:tc>
      </w:tr>
      <w:tr>
        <w:tblPrEx>
          <w:tblCellMar>
            <w:top w:w="0" w:type="dxa"/>
            <w:left w:w="0" w:type="dxa"/>
            <w:bottom w:w="0" w:type="dxa"/>
            <w:right w:w="0" w:type="dxa"/>
          </w:tblCellMar>
        </w:tblPrEx>
        <w:trPr>
          <w:trHeight w:val="54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仿宋" w:hAnsi="仿宋" w:eastAsia="仿宋" w:cs="仿宋"/>
                <w:color w:val="auto"/>
                <w:sz w:val="22"/>
                <w:highlight w:val="none"/>
                <w:lang w:val="en-US" w:eastAsia="zh-CN"/>
              </w:rPr>
            </w:pPr>
            <w:r>
              <w:rPr>
                <w:rFonts w:hint="eastAsia" w:ascii="仿宋" w:hAnsi="仿宋" w:eastAsia="仿宋" w:cs="仿宋"/>
                <w:color w:val="auto"/>
                <w:kern w:val="0"/>
                <w:sz w:val="22"/>
                <w:highlight w:val="none"/>
                <w:lang w:val="en-US" w:eastAsia="zh-CN" w:bidi="ar"/>
              </w:rPr>
              <w:t>4</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低压开关元器件</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default" w:ascii="仿宋" w:hAnsi="仿宋" w:eastAsia="仿宋" w:cs="仿宋"/>
                <w:color w:val="auto"/>
                <w:sz w:val="22"/>
                <w:highlight w:val="none"/>
                <w:lang w:val="en-US" w:eastAsia="zh-CN"/>
              </w:rPr>
            </w:pPr>
            <w:r>
              <w:rPr>
                <w:rFonts w:hint="eastAsia" w:ascii="仿宋" w:hAnsi="仿宋" w:eastAsia="仿宋" w:cs="仿宋"/>
                <w:color w:val="auto"/>
                <w:kern w:val="0"/>
                <w:sz w:val="22"/>
                <w:highlight w:val="none"/>
                <w:lang w:bidi="ar"/>
              </w:rPr>
              <w:t>ABB、西门子、常熟</w:t>
            </w:r>
            <w:r>
              <w:rPr>
                <w:rFonts w:hint="eastAsia" w:ascii="仿宋" w:hAnsi="仿宋" w:eastAsia="仿宋" w:cs="仿宋"/>
                <w:color w:val="auto"/>
                <w:kern w:val="0"/>
                <w:sz w:val="22"/>
                <w:highlight w:val="none"/>
                <w:lang w:eastAsia="zh-CN" w:bidi="ar"/>
              </w:rPr>
              <w:t>、</w:t>
            </w:r>
            <w:r>
              <w:rPr>
                <w:rFonts w:hint="eastAsia" w:ascii="仿宋" w:hAnsi="仿宋" w:eastAsia="仿宋" w:cs="仿宋"/>
                <w:color w:val="auto"/>
                <w:kern w:val="0"/>
                <w:sz w:val="22"/>
                <w:highlight w:val="none"/>
                <w:lang w:val="en-US" w:eastAsia="zh-CN" w:bidi="ar"/>
              </w:rPr>
              <w:t>良信、施耐德</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达国家标准及防火耐火要求</w:t>
            </w:r>
          </w:p>
        </w:tc>
      </w:tr>
      <w:tr>
        <w:tblPrEx>
          <w:tblCellMar>
            <w:top w:w="0" w:type="dxa"/>
            <w:left w:w="0" w:type="dxa"/>
            <w:bottom w:w="0" w:type="dxa"/>
            <w:right w:w="0" w:type="dxa"/>
          </w:tblCellMar>
        </w:tblPrEx>
        <w:trPr>
          <w:trHeight w:val="54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仿宋" w:hAnsi="仿宋" w:eastAsia="仿宋" w:cs="仿宋"/>
                <w:color w:val="auto"/>
                <w:sz w:val="22"/>
                <w:highlight w:val="none"/>
                <w:lang w:val="en-US" w:eastAsia="zh-CN"/>
              </w:rPr>
            </w:pPr>
            <w:r>
              <w:rPr>
                <w:rFonts w:hint="eastAsia" w:ascii="仿宋" w:hAnsi="仿宋" w:eastAsia="仿宋" w:cs="仿宋"/>
                <w:color w:val="auto"/>
                <w:kern w:val="0"/>
                <w:sz w:val="22"/>
                <w:highlight w:val="none"/>
                <w:lang w:val="en-US" w:eastAsia="zh-CN" w:bidi="ar"/>
              </w:rPr>
              <w:t>5</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电线、电缆</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中山铁城、广东电缆、广州电线电缆厂</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国标及防火耐火要求</w:t>
            </w:r>
          </w:p>
        </w:tc>
      </w:tr>
      <w:tr>
        <w:tblPrEx>
          <w:tblCellMar>
            <w:top w:w="0" w:type="dxa"/>
            <w:left w:w="0" w:type="dxa"/>
            <w:bottom w:w="0" w:type="dxa"/>
            <w:right w:w="0" w:type="dxa"/>
          </w:tblCellMar>
        </w:tblPrEx>
        <w:trPr>
          <w:trHeight w:val="27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仿宋" w:hAnsi="仿宋" w:eastAsia="仿宋" w:cs="仿宋"/>
                <w:color w:val="auto"/>
                <w:sz w:val="22"/>
                <w:highlight w:val="none"/>
                <w:lang w:val="en-US" w:eastAsia="zh-CN"/>
              </w:rPr>
            </w:pPr>
            <w:r>
              <w:rPr>
                <w:rFonts w:hint="eastAsia" w:ascii="仿宋" w:hAnsi="仿宋" w:eastAsia="仿宋" w:cs="仿宋"/>
                <w:color w:val="auto"/>
                <w:kern w:val="0"/>
                <w:sz w:val="22"/>
                <w:highlight w:val="none"/>
                <w:lang w:val="en-US" w:eastAsia="zh-CN" w:bidi="ar"/>
              </w:rPr>
              <w:t>6</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灯具</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default" w:ascii="仿宋" w:hAnsi="仿宋" w:eastAsia="仿宋" w:cs="仿宋"/>
                <w:color w:val="auto"/>
                <w:sz w:val="22"/>
                <w:highlight w:val="none"/>
                <w:lang w:val="en-US" w:eastAsia="zh-CN"/>
              </w:rPr>
            </w:pPr>
            <w:r>
              <w:rPr>
                <w:rFonts w:hint="eastAsia" w:ascii="仿宋" w:hAnsi="仿宋" w:eastAsia="仿宋" w:cs="仿宋"/>
                <w:color w:val="auto"/>
                <w:kern w:val="0"/>
                <w:sz w:val="22"/>
                <w:highlight w:val="none"/>
                <w:lang w:bidi="ar"/>
              </w:rPr>
              <w:t>飞利浦、</w:t>
            </w:r>
            <w:r>
              <w:rPr>
                <w:rFonts w:hint="eastAsia" w:ascii="仿宋" w:hAnsi="仿宋" w:eastAsia="仿宋" w:cs="仿宋"/>
                <w:color w:val="auto"/>
                <w:kern w:val="0"/>
                <w:sz w:val="22"/>
                <w:highlight w:val="none"/>
                <w:lang w:val="en-US" w:eastAsia="zh-CN" w:bidi="ar"/>
              </w:rPr>
              <w:t>欧普</w:t>
            </w:r>
            <w:r>
              <w:rPr>
                <w:rFonts w:hint="eastAsia" w:ascii="仿宋" w:hAnsi="仿宋" w:eastAsia="仿宋" w:cs="仿宋"/>
                <w:color w:val="auto"/>
                <w:kern w:val="0"/>
                <w:sz w:val="22"/>
                <w:highlight w:val="none"/>
                <w:lang w:bidi="ar"/>
              </w:rPr>
              <w:t>、雷士</w:t>
            </w:r>
            <w:r>
              <w:rPr>
                <w:rFonts w:hint="eastAsia" w:ascii="仿宋" w:hAnsi="仿宋" w:eastAsia="仿宋" w:cs="仿宋"/>
                <w:color w:val="auto"/>
                <w:kern w:val="0"/>
                <w:sz w:val="22"/>
                <w:highlight w:val="none"/>
                <w:lang w:eastAsia="zh-CN" w:bidi="ar"/>
              </w:rPr>
              <w:t>，</w:t>
            </w:r>
            <w:r>
              <w:rPr>
                <w:rFonts w:hint="eastAsia" w:ascii="仿宋" w:hAnsi="仿宋" w:eastAsia="仿宋" w:cs="仿宋"/>
                <w:color w:val="auto"/>
                <w:kern w:val="0"/>
                <w:sz w:val="22"/>
                <w:highlight w:val="none"/>
                <w:lang w:val="en-US" w:eastAsia="zh-CN" w:bidi="ar"/>
              </w:rPr>
              <w:t>佛山照明、微观科技</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国标</w:t>
            </w:r>
          </w:p>
        </w:tc>
      </w:tr>
      <w:tr>
        <w:tblPrEx>
          <w:tblCellMar>
            <w:top w:w="0" w:type="dxa"/>
            <w:left w:w="0" w:type="dxa"/>
            <w:bottom w:w="0" w:type="dxa"/>
            <w:right w:w="0" w:type="dxa"/>
          </w:tblCellMar>
        </w:tblPrEx>
        <w:trPr>
          <w:trHeight w:val="54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仿宋" w:hAnsi="仿宋" w:eastAsia="仿宋" w:cs="仿宋"/>
                <w:color w:val="auto"/>
                <w:sz w:val="22"/>
                <w:highlight w:val="none"/>
                <w:lang w:val="en-US" w:eastAsia="zh-CN"/>
              </w:rPr>
            </w:pPr>
            <w:r>
              <w:rPr>
                <w:rFonts w:hint="eastAsia" w:ascii="仿宋" w:hAnsi="仿宋" w:eastAsia="仿宋" w:cs="仿宋"/>
                <w:color w:val="auto"/>
                <w:kern w:val="0"/>
                <w:sz w:val="22"/>
                <w:highlight w:val="none"/>
                <w:lang w:val="en-US" w:eastAsia="zh-CN" w:bidi="ar"/>
              </w:rPr>
              <w:t>7</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消防照明</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lang w:val="en-US"/>
              </w:rPr>
            </w:pPr>
            <w:r>
              <w:rPr>
                <w:rFonts w:hint="eastAsia" w:ascii="仿宋" w:hAnsi="仿宋" w:eastAsia="仿宋" w:cs="仿宋"/>
                <w:color w:val="auto"/>
                <w:kern w:val="0"/>
                <w:sz w:val="22"/>
                <w:highlight w:val="none"/>
                <w:lang w:bidi="ar"/>
              </w:rPr>
              <w:t>中山振辉、雷士</w:t>
            </w:r>
            <w:r>
              <w:rPr>
                <w:rFonts w:hint="eastAsia" w:ascii="仿宋" w:hAnsi="仿宋" w:eastAsia="仿宋" w:cs="仿宋"/>
                <w:color w:val="auto"/>
                <w:kern w:val="0"/>
                <w:sz w:val="22"/>
                <w:highlight w:val="none"/>
                <w:lang w:eastAsia="zh-CN" w:bidi="ar"/>
              </w:rPr>
              <w:t>、</w:t>
            </w:r>
            <w:r>
              <w:rPr>
                <w:rFonts w:hint="eastAsia" w:ascii="仿宋" w:hAnsi="仿宋" w:eastAsia="仿宋" w:cs="仿宋"/>
                <w:color w:val="auto"/>
                <w:kern w:val="0"/>
                <w:sz w:val="22"/>
                <w:highlight w:val="none"/>
                <w:lang w:val="en-US" w:eastAsia="zh-CN" w:bidi="ar"/>
              </w:rPr>
              <w:t>佛山照明</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国标、需消防局备案，3C认证</w:t>
            </w:r>
          </w:p>
        </w:tc>
      </w:tr>
      <w:tr>
        <w:tblPrEx>
          <w:tblCellMar>
            <w:top w:w="0" w:type="dxa"/>
            <w:left w:w="0" w:type="dxa"/>
            <w:bottom w:w="0" w:type="dxa"/>
            <w:right w:w="0" w:type="dxa"/>
          </w:tblCellMar>
        </w:tblPrEx>
        <w:trPr>
          <w:trHeight w:val="81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仿宋" w:hAnsi="仿宋" w:eastAsia="仿宋" w:cs="仿宋"/>
                <w:color w:val="auto"/>
                <w:sz w:val="22"/>
                <w:highlight w:val="none"/>
                <w:lang w:val="en-US" w:eastAsia="zh-CN"/>
              </w:rPr>
            </w:pPr>
            <w:r>
              <w:rPr>
                <w:rFonts w:hint="eastAsia" w:ascii="仿宋" w:hAnsi="仿宋" w:eastAsia="仿宋" w:cs="仿宋"/>
                <w:color w:val="auto"/>
                <w:sz w:val="22"/>
                <w:highlight w:val="none"/>
                <w:lang w:val="en-US" w:eastAsia="zh-CN"/>
              </w:rPr>
              <w:t>8</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消防栓箱、水泵结合器、室外消防栓、灭火器</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广东平安、广东粤兴、天广、新海</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国标、需消防局备案，3C认证</w:t>
            </w:r>
          </w:p>
        </w:tc>
      </w:tr>
      <w:tr>
        <w:tblPrEx>
          <w:tblCellMar>
            <w:top w:w="0" w:type="dxa"/>
            <w:left w:w="0" w:type="dxa"/>
            <w:bottom w:w="0" w:type="dxa"/>
            <w:right w:w="0" w:type="dxa"/>
          </w:tblCellMar>
        </w:tblPrEx>
        <w:trPr>
          <w:trHeight w:val="54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仿宋" w:hAnsi="仿宋" w:eastAsia="仿宋" w:cs="仿宋"/>
                <w:color w:val="auto"/>
                <w:sz w:val="22"/>
                <w:highlight w:val="none"/>
                <w:lang w:val="en-US" w:eastAsia="zh-CN"/>
              </w:rPr>
            </w:pPr>
            <w:r>
              <w:rPr>
                <w:rFonts w:hint="eastAsia" w:ascii="仿宋" w:hAnsi="仿宋" w:eastAsia="仿宋" w:cs="仿宋"/>
                <w:color w:val="auto"/>
                <w:kern w:val="0"/>
                <w:sz w:val="22"/>
                <w:highlight w:val="none"/>
                <w:lang w:val="en-US" w:eastAsia="zh-CN" w:bidi="ar"/>
              </w:rPr>
              <w:t>9</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自动报警设备</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泰和安</w:t>
            </w:r>
            <w:r>
              <w:rPr>
                <w:rFonts w:hint="eastAsia" w:ascii="仿宋" w:hAnsi="仿宋" w:eastAsia="仿宋" w:cs="仿宋"/>
                <w:color w:val="auto"/>
                <w:kern w:val="0"/>
                <w:sz w:val="22"/>
                <w:highlight w:val="none"/>
                <w:lang w:eastAsia="zh-CN" w:bidi="ar"/>
              </w:rPr>
              <w:t>、</w:t>
            </w:r>
            <w:r>
              <w:rPr>
                <w:rFonts w:hint="eastAsia" w:ascii="仿宋" w:hAnsi="仿宋" w:eastAsia="仿宋" w:cs="仿宋"/>
                <w:color w:val="auto"/>
                <w:kern w:val="0"/>
                <w:sz w:val="22"/>
                <w:highlight w:val="none"/>
                <w:lang w:bidi="ar"/>
              </w:rPr>
              <w:t>海湾、北大青鸟</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国标、需消防局备案，3C认证</w:t>
            </w:r>
          </w:p>
        </w:tc>
      </w:tr>
      <w:tr>
        <w:tblPrEx>
          <w:tblCellMar>
            <w:top w:w="0" w:type="dxa"/>
            <w:left w:w="0" w:type="dxa"/>
            <w:bottom w:w="0" w:type="dxa"/>
            <w:right w:w="0" w:type="dxa"/>
          </w:tblCellMar>
        </w:tblPrEx>
        <w:trPr>
          <w:trHeight w:val="54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仿宋" w:hAnsi="仿宋" w:eastAsia="仿宋" w:cs="仿宋"/>
                <w:color w:val="auto"/>
                <w:sz w:val="22"/>
                <w:highlight w:val="none"/>
                <w:lang w:val="en-US" w:eastAsia="zh-CN"/>
              </w:rPr>
            </w:pPr>
            <w:r>
              <w:rPr>
                <w:rFonts w:hint="eastAsia" w:ascii="仿宋" w:hAnsi="仿宋" w:eastAsia="仿宋" w:cs="仿宋"/>
                <w:color w:val="auto"/>
                <w:kern w:val="0"/>
                <w:sz w:val="22"/>
                <w:highlight w:val="none"/>
                <w:lang w:val="en-US" w:eastAsia="zh-CN" w:bidi="ar"/>
              </w:rPr>
              <w:t>10</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风机、防火阀、风口</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bidi="ar"/>
              </w:rPr>
            </w:pPr>
            <w:r>
              <w:rPr>
                <w:rFonts w:hint="eastAsia" w:ascii="仿宋" w:hAnsi="仿宋" w:eastAsia="仿宋" w:cs="仿宋"/>
                <w:color w:val="auto"/>
                <w:kern w:val="0"/>
                <w:sz w:val="22"/>
                <w:highlight w:val="none"/>
                <w:lang w:val="en-US" w:eastAsia="zh-CN" w:bidi="ar"/>
              </w:rPr>
              <w:t>海鸿</w:t>
            </w:r>
            <w:r>
              <w:rPr>
                <w:rFonts w:hint="eastAsia" w:ascii="仿宋" w:hAnsi="仿宋" w:eastAsia="仿宋" w:cs="仿宋"/>
                <w:color w:val="auto"/>
                <w:kern w:val="0"/>
                <w:sz w:val="22"/>
                <w:highlight w:val="none"/>
                <w:lang w:bidi="ar"/>
              </w:rPr>
              <w:t>、康达、</w:t>
            </w:r>
            <w:bookmarkStart w:id="0" w:name="_Hlk126747392"/>
            <w:r>
              <w:rPr>
                <w:rFonts w:hint="eastAsia" w:ascii="仿宋" w:hAnsi="仿宋" w:eastAsia="仿宋" w:cs="仿宋"/>
                <w:color w:val="auto"/>
                <w:kern w:val="0"/>
                <w:sz w:val="22"/>
                <w:highlight w:val="none"/>
                <w:lang w:bidi="ar"/>
              </w:rPr>
              <w:t>云丰、德通</w:t>
            </w:r>
            <w:bookmarkEnd w:id="0"/>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国标、需消防局备案，3C认证</w:t>
            </w:r>
          </w:p>
        </w:tc>
      </w:tr>
      <w:tr>
        <w:tblPrEx>
          <w:tblCellMar>
            <w:top w:w="0" w:type="dxa"/>
            <w:left w:w="0" w:type="dxa"/>
            <w:bottom w:w="0" w:type="dxa"/>
            <w:right w:w="0" w:type="dxa"/>
          </w:tblCellMar>
        </w:tblPrEx>
        <w:trPr>
          <w:trHeight w:val="54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仿宋" w:hAnsi="仿宋" w:eastAsia="仿宋" w:cs="仿宋"/>
                <w:color w:val="auto"/>
                <w:kern w:val="0"/>
                <w:sz w:val="22"/>
                <w:highlight w:val="none"/>
                <w:lang w:val="en-US" w:eastAsia="zh-CN" w:bidi="ar"/>
              </w:rPr>
            </w:pPr>
            <w:r>
              <w:rPr>
                <w:rFonts w:hint="eastAsia" w:ascii="仿宋" w:hAnsi="仿宋" w:eastAsia="仿宋" w:cs="仿宋"/>
                <w:color w:val="auto"/>
                <w:kern w:val="0"/>
                <w:sz w:val="22"/>
                <w:highlight w:val="none"/>
                <w:lang w:val="en-US" w:eastAsia="zh-CN" w:bidi="ar"/>
              </w:rPr>
              <w:t>11</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both"/>
              <w:textAlignment w:val="center"/>
              <w:rPr>
                <w:rFonts w:hint="eastAsia" w:ascii="仿宋" w:hAnsi="仿宋" w:eastAsia="仿宋" w:cs="仿宋"/>
                <w:color w:val="auto"/>
                <w:kern w:val="0"/>
                <w:sz w:val="22"/>
                <w:highlight w:val="none"/>
                <w:lang w:val="en-US" w:eastAsia="zh-CN" w:bidi="ar"/>
              </w:rPr>
            </w:pPr>
            <w:r>
              <w:rPr>
                <w:rFonts w:hint="eastAsia" w:ascii="仿宋" w:hAnsi="仿宋" w:eastAsia="仿宋" w:cs="仿宋"/>
                <w:color w:val="auto"/>
                <w:kern w:val="0"/>
                <w:sz w:val="22"/>
                <w:highlight w:val="none"/>
                <w:lang w:val="en-US" w:eastAsia="zh-CN" w:bidi="ar"/>
              </w:rPr>
              <w:t>变压器</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default" w:ascii="仿宋" w:hAnsi="仿宋" w:eastAsia="仿宋" w:cs="仿宋"/>
                <w:color w:val="auto"/>
                <w:kern w:val="0"/>
                <w:sz w:val="22"/>
                <w:highlight w:val="none"/>
                <w:lang w:val="en-US" w:eastAsia="zh-CN" w:bidi="ar"/>
              </w:rPr>
            </w:pPr>
            <w:r>
              <w:rPr>
                <w:rFonts w:hint="eastAsia" w:ascii="仿宋" w:hAnsi="仿宋" w:eastAsia="仿宋" w:cs="仿宋"/>
                <w:color w:val="auto"/>
                <w:kern w:val="0"/>
                <w:sz w:val="22"/>
                <w:highlight w:val="none"/>
                <w:lang w:val="en-US" w:eastAsia="zh-CN" w:bidi="ar"/>
              </w:rPr>
              <w:t>海鸿、顺特、佛山特变、广特、松夏、胜特</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bidi="ar"/>
              </w:rPr>
            </w:pPr>
          </w:p>
        </w:tc>
      </w:tr>
      <w:tr>
        <w:tblPrEx>
          <w:tblCellMar>
            <w:top w:w="0" w:type="dxa"/>
            <w:left w:w="0" w:type="dxa"/>
            <w:bottom w:w="0" w:type="dxa"/>
            <w:right w:w="0" w:type="dxa"/>
          </w:tblCellMar>
        </w:tblPrEx>
        <w:trPr>
          <w:trHeight w:val="54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ind w:firstLine="220" w:firstLineChars="100"/>
              <w:jc w:val="left"/>
              <w:textAlignment w:val="center"/>
              <w:rPr>
                <w:rFonts w:hint="eastAsia" w:ascii="仿宋" w:hAnsi="仿宋" w:eastAsia="仿宋" w:cs="仿宋"/>
                <w:color w:val="auto"/>
                <w:kern w:val="0"/>
                <w:sz w:val="22"/>
                <w:highlight w:val="none"/>
                <w:lang w:val="en-US" w:eastAsia="zh-CN" w:bidi="ar"/>
              </w:rPr>
            </w:pPr>
            <w:r>
              <w:rPr>
                <w:rFonts w:hint="eastAsia" w:ascii="仿宋" w:hAnsi="仿宋" w:eastAsia="仿宋" w:cs="仿宋"/>
                <w:color w:val="auto"/>
                <w:kern w:val="0"/>
                <w:sz w:val="22"/>
                <w:highlight w:val="none"/>
                <w:lang w:val="en-US" w:eastAsia="zh-CN" w:bidi="ar"/>
              </w:rPr>
              <w:t>12</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val="en-US" w:eastAsia="zh-CN" w:bidi="ar"/>
              </w:rPr>
            </w:pPr>
            <w:r>
              <w:rPr>
                <w:rFonts w:hint="eastAsia" w:ascii="仿宋" w:hAnsi="仿宋" w:eastAsia="仿宋" w:cs="仿宋"/>
                <w:color w:val="auto"/>
                <w:kern w:val="0"/>
                <w:sz w:val="22"/>
                <w:highlight w:val="none"/>
                <w:lang w:val="en-US" w:eastAsia="zh-CN" w:bidi="ar"/>
              </w:rPr>
              <w:t>弱电监控系统</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val="en-US" w:eastAsia="zh-CN" w:bidi="ar"/>
              </w:rPr>
            </w:pPr>
            <w:r>
              <w:rPr>
                <w:rFonts w:hint="eastAsia" w:ascii="仿宋" w:hAnsi="仿宋" w:eastAsia="仿宋" w:cs="仿宋"/>
                <w:color w:val="auto"/>
                <w:kern w:val="0"/>
                <w:sz w:val="22"/>
                <w:highlight w:val="none"/>
                <w:lang w:val="en-US" w:eastAsia="zh-CN" w:bidi="ar"/>
              </w:rPr>
              <w:t>安居宝、海康威视等</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bidi="ar"/>
              </w:rPr>
            </w:pPr>
          </w:p>
        </w:tc>
      </w:tr>
      <w:tr>
        <w:tblPrEx>
          <w:tblCellMar>
            <w:top w:w="0" w:type="dxa"/>
            <w:left w:w="0" w:type="dxa"/>
            <w:bottom w:w="0" w:type="dxa"/>
            <w:right w:w="0" w:type="dxa"/>
          </w:tblCellMar>
        </w:tblPrEx>
        <w:trPr>
          <w:trHeight w:val="27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仿宋" w:hAnsi="仿宋" w:eastAsia="仿宋" w:cs="仿宋"/>
                <w:color w:val="auto"/>
                <w:sz w:val="22"/>
                <w:highlight w:val="none"/>
                <w:lang w:val="en-US" w:eastAsia="zh-CN"/>
              </w:rPr>
            </w:pPr>
            <w:r>
              <w:rPr>
                <w:rFonts w:hint="eastAsia" w:ascii="仿宋" w:hAnsi="仿宋" w:eastAsia="仿宋" w:cs="仿宋"/>
                <w:color w:val="auto"/>
                <w:sz w:val="22"/>
                <w:highlight w:val="none"/>
                <w:lang w:val="en-US" w:eastAsia="zh-CN"/>
              </w:rPr>
              <w:t>13</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sz w:val="22"/>
                <w:highlight w:val="none"/>
              </w:rPr>
            </w:pPr>
            <w:r>
              <w:rPr>
                <w:rFonts w:hint="eastAsia" w:ascii="仿宋" w:hAnsi="仿宋" w:eastAsia="仿宋" w:cs="仿宋"/>
                <w:color w:val="auto"/>
                <w:kern w:val="0"/>
                <w:sz w:val="22"/>
                <w:highlight w:val="none"/>
                <w:lang w:bidi="ar"/>
              </w:rPr>
              <w:t>电梯</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default" w:ascii="仿宋" w:hAnsi="仿宋" w:eastAsia="仿宋" w:cs="仿宋"/>
                <w:color w:val="auto"/>
                <w:sz w:val="22"/>
                <w:highlight w:val="none"/>
                <w:lang w:val="en-US" w:eastAsia="zh-CN"/>
              </w:rPr>
            </w:pPr>
            <w:r>
              <w:rPr>
                <w:rFonts w:hint="eastAsia" w:ascii="仿宋" w:hAnsi="仿宋" w:eastAsia="仿宋" w:cs="仿宋"/>
                <w:color w:val="auto"/>
                <w:kern w:val="0"/>
                <w:sz w:val="22"/>
                <w:highlight w:val="none"/>
                <w:lang w:bidi="ar"/>
              </w:rPr>
              <w:t>日立</w:t>
            </w:r>
            <w:r>
              <w:rPr>
                <w:rFonts w:hint="eastAsia" w:ascii="仿宋" w:hAnsi="仿宋" w:eastAsia="仿宋" w:cs="仿宋"/>
                <w:color w:val="auto"/>
                <w:kern w:val="0"/>
                <w:sz w:val="22"/>
                <w:highlight w:val="none"/>
                <w:lang w:eastAsia="zh-CN" w:bidi="ar"/>
              </w:rPr>
              <w:t>、</w:t>
            </w:r>
            <w:r>
              <w:rPr>
                <w:rFonts w:hint="eastAsia" w:ascii="仿宋" w:hAnsi="仿宋" w:eastAsia="仿宋" w:cs="仿宋"/>
                <w:color w:val="auto"/>
                <w:kern w:val="0"/>
                <w:sz w:val="22"/>
                <w:highlight w:val="none"/>
                <w:lang w:val="en-US" w:eastAsia="zh-CN" w:bidi="ar"/>
              </w:rPr>
              <w:t>通力、上海三菱、广日（EPSS)</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仿宋" w:hAnsi="仿宋" w:eastAsia="仿宋" w:cs="仿宋"/>
                <w:color w:val="auto"/>
                <w:sz w:val="22"/>
                <w:highlight w:val="none"/>
              </w:rPr>
            </w:pPr>
          </w:p>
        </w:tc>
      </w:tr>
      <w:tr>
        <w:tblPrEx>
          <w:tblCellMar>
            <w:top w:w="0" w:type="dxa"/>
            <w:left w:w="0" w:type="dxa"/>
            <w:bottom w:w="0" w:type="dxa"/>
            <w:right w:w="0" w:type="dxa"/>
          </w:tblCellMar>
        </w:tblPrEx>
        <w:trPr>
          <w:trHeight w:val="54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仿宋" w:hAnsi="仿宋" w:eastAsia="仿宋" w:cs="仿宋"/>
                <w:color w:val="auto"/>
                <w:sz w:val="22"/>
                <w:highlight w:val="none"/>
                <w:lang w:val="en-US" w:eastAsia="zh-CN"/>
              </w:rPr>
            </w:pPr>
            <w:r>
              <w:rPr>
                <w:rFonts w:hint="eastAsia" w:ascii="仿宋" w:hAnsi="仿宋" w:eastAsia="仿宋" w:cs="仿宋"/>
                <w:color w:val="auto"/>
                <w:sz w:val="22"/>
                <w:highlight w:val="none"/>
                <w:lang w:val="en-US" w:eastAsia="zh-CN"/>
              </w:rPr>
              <w:t>14</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val="en-US" w:eastAsia="zh-CN" w:bidi="ar"/>
              </w:rPr>
            </w:pPr>
            <w:r>
              <w:rPr>
                <w:rFonts w:hint="eastAsia" w:ascii="仿宋" w:hAnsi="仿宋" w:eastAsia="仿宋" w:cs="仿宋"/>
                <w:color w:val="auto"/>
                <w:kern w:val="0"/>
                <w:sz w:val="22"/>
                <w:highlight w:val="none"/>
                <w:lang w:val="en-US" w:eastAsia="zh-CN" w:bidi="ar"/>
              </w:rPr>
              <w:t>发电机</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val="en-US" w:eastAsia="zh-CN" w:bidi="ar"/>
              </w:rPr>
            </w:pPr>
            <w:r>
              <w:rPr>
                <w:rFonts w:hint="eastAsia" w:ascii="仿宋" w:hAnsi="仿宋" w:eastAsia="仿宋" w:cs="仿宋"/>
                <w:color w:val="auto"/>
                <w:kern w:val="0"/>
                <w:sz w:val="22"/>
                <w:highlight w:val="none"/>
                <w:lang w:val="en-US" w:eastAsia="zh-CN" w:bidi="ar"/>
              </w:rPr>
              <w:t>上柴、康明斯、玉柴</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bidi="ar"/>
              </w:rPr>
            </w:pPr>
          </w:p>
        </w:tc>
      </w:tr>
      <w:tr>
        <w:tblPrEx>
          <w:tblCellMar>
            <w:top w:w="0" w:type="dxa"/>
            <w:left w:w="0" w:type="dxa"/>
            <w:bottom w:w="0" w:type="dxa"/>
            <w:right w:w="0" w:type="dxa"/>
          </w:tblCellMar>
        </w:tblPrEx>
        <w:trPr>
          <w:trHeight w:val="54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仿宋" w:hAnsi="仿宋" w:eastAsia="仿宋" w:cs="仿宋"/>
                <w:color w:val="auto"/>
                <w:sz w:val="22"/>
                <w:highlight w:val="none"/>
                <w:lang w:val="en-US" w:eastAsia="zh-CN"/>
              </w:rPr>
            </w:pPr>
            <w:r>
              <w:rPr>
                <w:rFonts w:hint="eastAsia" w:ascii="仿宋" w:hAnsi="仿宋" w:eastAsia="仿宋" w:cs="仿宋"/>
                <w:color w:val="auto"/>
                <w:sz w:val="22"/>
                <w:highlight w:val="none"/>
                <w:lang w:val="en-US" w:eastAsia="zh-CN"/>
              </w:rPr>
              <w:t>15</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val="en-US" w:eastAsia="zh-CN" w:bidi="ar"/>
              </w:rPr>
            </w:pPr>
            <w:r>
              <w:rPr>
                <w:rFonts w:hint="eastAsia" w:ascii="仿宋" w:hAnsi="仿宋" w:eastAsia="仿宋" w:cs="仿宋"/>
                <w:color w:val="auto"/>
                <w:kern w:val="0"/>
                <w:sz w:val="22"/>
                <w:highlight w:val="none"/>
                <w:lang w:val="en-US" w:eastAsia="zh-CN" w:bidi="ar"/>
              </w:rPr>
              <w:t>交换机</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val="en-US" w:eastAsia="zh-CN" w:bidi="ar"/>
              </w:rPr>
            </w:pPr>
            <w:r>
              <w:rPr>
                <w:rFonts w:hint="eastAsia" w:ascii="仿宋" w:hAnsi="仿宋" w:eastAsia="仿宋" w:cs="仿宋"/>
                <w:color w:val="auto"/>
                <w:kern w:val="0"/>
                <w:sz w:val="22"/>
                <w:highlight w:val="none"/>
                <w:lang w:val="en-US" w:eastAsia="zh-CN" w:bidi="ar"/>
              </w:rPr>
              <w:t>华为、H3C、华三</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bidi="ar"/>
              </w:rPr>
            </w:pPr>
          </w:p>
        </w:tc>
      </w:tr>
      <w:tr>
        <w:tblPrEx>
          <w:tblCellMar>
            <w:top w:w="0" w:type="dxa"/>
            <w:left w:w="0" w:type="dxa"/>
            <w:bottom w:w="0" w:type="dxa"/>
            <w:right w:w="0" w:type="dxa"/>
          </w:tblCellMar>
        </w:tblPrEx>
        <w:trPr>
          <w:trHeight w:val="54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仿宋" w:hAnsi="仿宋" w:eastAsia="仿宋" w:cs="仿宋"/>
                <w:color w:val="auto"/>
                <w:sz w:val="22"/>
                <w:highlight w:val="none"/>
                <w:lang w:val="en-US" w:eastAsia="zh-CN"/>
              </w:rPr>
            </w:pPr>
            <w:r>
              <w:rPr>
                <w:rFonts w:hint="eastAsia" w:ascii="仿宋" w:hAnsi="仿宋" w:eastAsia="仿宋" w:cs="仿宋"/>
                <w:color w:val="auto"/>
                <w:sz w:val="22"/>
                <w:highlight w:val="none"/>
                <w:lang w:val="en-US" w:eastAsia="zh-CN"/>
              </w:rPr>
              <w:t>16</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val="en-US" w:eastAsia="zh-CN" w:bidi="ar"/>
              </w:rPr>
            </w:pPr>
            <w:r>
              <w:rPr>
                <w:rFonts w:hint="eastAsia" w:ascii="仿宋" w:hAnsi="仿宋" w:eastAsia="仿宋" w:cs="仿宋"/>
                <w:color w:val="auto"/>
                <w:kern w:val="0"/>
                <w:sz w:val="22"/>
                <w:highlight w:val="none"/>
                <w:lang w:val="en-US" w:eastAsia="zh-CN" w:bidi="ar"/>
              </w:rPr>
              <w:t>摄像头</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val="en-US" w:eastAsia="zh-CN" w:bidi="ar"/>
              </w:rPr>
            </w:pPr>
            <w:r>
              <w:rPr>
                <w:rFonts w:hint="eastAsia" w:ascii="仿宋" w:hAnsi="仿宋" w:eastAsia="仿宋" w:cs="仿宋"/>
                <w:color w:val="auto"/>
                <w:kern w:val="0"/>
                <w:sz w:val="22"/>
                <w:highlight w:val="none"/>
                <w:lang w:val="en-US" w:eastAsia="zh-CN" w:bidi="ar"/>
              </w:rPr>
              <w:t>海康威视、大华、华为</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bidi="ar"/>
              </w:rPr>
            </w:pPr>
          </w:p>
        </w:tc>
      </w:tr>
      <w:tr>
        <w:tblPrEx>
          <w:tblCellMar>
            <w:top w:w="0" w:type="dxa"/>
            <w:left w:w="0" w:type="dxa"/>
            <w:bottom w:w="0" w:type="dxa"/>
            <w:right w:w="0" w:type="dxa"/>
          </w:tblCellMar>
        </w:tblPrEx>
        <w:trPr>
          <w:trHeight w:val="54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仿宋" w:hAnsi="仿宋" w:eastAsia="仿宋" w:cs="仿宋"/>
                <w:color w:val="auto"/>
                <w:sz w:val="22"/>
                <w:highlight w:val="none"/>
                <w:lang w:val="en-US" w:eastAsia="zh-CN"/>
              </w:rPr>
            </w:pPr>
            <w:r>
              <w:rPr>
                <w:rFonts w:hint="eastAsia" w:ascii="仿宋" w:hAnsi="仿宋" w:eastAsia="仿宋" w:cs="仿宋"/>
                <w:color w:val="auto"/>
                <w:sz w:val="22"/>
                <w:highlight w:val="none"/>
                <w:lang w:val="en-US" w:eastAsia="zh-CN"/>
              </w:rPr>
              <w:t>17</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val="en-US" w:eastAsia="zh-CN" w:bidi="ar"/>
              </w:rPr>
            </w:pPr>
            <w:r>
              <w:rPr>
                <w:rFonts w:hint="eastAsia" w:ascii="仿宋" w:hAnsi="仿宋" w:eastAsia="仿宋" w:cs="仿宋"/>
                <w:color w:val="auto"/>
                <w:kern w:val="0"/>
                <w:sz w:val="22"/>
                <w:highlight w:val="none"/>
                <w:lang w:val="en-US" w:eastAsia="zh-CN" w:bidi="ar"/>
              </w:rPr>
              <w:t>硬盘刻录机</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val="en-US" w:eastAsia="zh-CN" w:bidi="ar"/>
              </w:rPr>
            </w:pPr>
            <w:r>
              <w:rPr>
                <w:rFonts w:hint="eastAsia" w:ascii="仿宋" w:hAnsi="仿宋" w:eastAsia="仿宋" w:cs="仿宋"/>
                <w:color w:val="auto"/>
                <w:kern w:val="0"/>
                <w:sz w:val="22"/>
                <w:highlight w:val="none"/>
                <w:lang w:val="en-US" w:eastAsia="zh-CN" w:bidi="ar"/>
              </w:rPr>
              <w:t>海康威视、大华、富士</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bidi="ar"/>
              </w:rPr>
            </w:pPr>
          </w:p>
        </w:tc>
      </w:tr>
      <w:tr>
        <w:tblPrEx>
          <w:tblCellMar>
            <w:top w:w="0" w:type="dxa"/>
            <w:left w:w="0" w:type="dxa"/>
            <w:bottom w:w="0" w:type="dxa"/>
            <w:right w:w="0" w:type="dxa"/>
          </w:tblCellMar>
        </w:tblPrEx>
        <w:trPr>
          <w:trHeight w:val="54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仿宋" w:hAnsi="仿宋" w:eastAsia="仿宋" w:cs="仿宋"/>
                <w:color w:val="auto"/>
                <w:sz w:val="22"/>
                <w:highlight w:val="none"/>
                <w:lang w:val="en-US" w:eastAsia="zh-CN"/>
              </w:rPr>
            </w:pPr>
            <w:r>
              <w:rPr>
                <w:rFonts w:hint="eastAsia" w:ascii="仿宋" w:hAnsi="仿宋" w:eastAsia="仿宋" w:cs="仿宋"/>
                <w:color w:val="auto"/>
                <w:sz w:val="22"/>
                <w:highlight w:val="none"/>
                <w:lang w:val="en-US" w:eastAsia="zh-CN"/>
              </w:rPr>
              <w:t>18</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val="en-US" w:eastAsia="zh-CN" w:bidi="ar"/>
              </w:rPr>
            </w:pPr>
            <w:r>
              <w:rPr>
                <w:rFonts w:hint="eastAsia" w:ascii="仿宋" w:hAnsi="仿宋" w:eastAsia="仿宋" w:cs="仿宋"/>
                <w:color w:val="auto"/>
                <w:kern w:val="0"/>
                <w:sz w:val="22"/>
                <w:highlight w:val="none"/>
                <w:lang w:val="en-US" w:eastAsia="zh-CN" w:bidi="ar"/>
              </w:rPr>
              <w:t>洁具</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val="en-US" w:eastAsia="zh-CN" w:bidi="ar"/>
              </w:rPr>
            </w:pPr>
            <w:r>
              <w:rPr>
                <w:rFonts w:hint="eastAsia" w:ascii="仿宋" w:hAnsi="仿宋" w:eastAsia="仿宋" w:cs="仿宋"/>
                <w:color w:val="auto"/>
                <w:kern w:val="0"/>
                <w:sz w:val="22"/>
                <w:highlight w:val="none"/>
                <w:lang w:val="en-US" w:eastAsia="zh-CN" w:bidi="ar"/>
              </w:rPr>
              <w:t>九牧、恒洁、箭牌</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bidi="ar"/>
              </w:rPr>
            </w:pPr>
          </w:p>
        </w:tc>
      </w:tr>
      <w:tr>
        <w:tblPrEx>
          <w:tblCellMar>
            <w:top w:w="0" w:type="dxa"/>
            <w:left w:w="0" w:type="dxa"/>
            <w:bottom w:w="0" w:type="dxa"/>
            <w:right w:w="0" w:type="dxa"/>
          </w:tblCellMar>
        </w:tblPrEx>
        <w:trPr>
          <w:trHeight w:val="54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default" w:ascii="仿宋" w:hAnsi="仿宋" w:eastAsia="仿宋" w:cs="仿宋"/>
                <w:color w:val="auto"/>
                <w:sz w:val="22"/>
                <w:highlight w:val="none"/>
                <w:lang w:val="en-US" w:eastAsia="zh-CN"/>
              </w:rPr>
            </w:pPr>
            <w:r>
              <w:rPr>
                <w:rFonts w:hint="eastAsia" w:ascii="仿宋" w:hAnsi="仿宋" w:eastAsia="仿宋" w:cs="仿宋"/>
                <w:color w:val="auto"/>
                <w:sz w:val="22"/>
                <w:highlight w:val="none"/>
                <w:lang w:val="en-US" w:eastAsia="zh-CN"/>
              </w:rPr>
              <w:t>19</w:t>
            </w: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default" w:ascii="仿宋" w:hAnsi="仿宋" w:eastAsia="仿宋" w:cs="仿宋"/>
                <w:color w:val="auto"/>
                <w:kern w:val="0"/>
                <w:sz w:val="22"/>
                <w:highlight w:val="none"/>
                <w:lang w:val="en-US" w:eastAsia="zh-CN" w:bidi="ar"/>
              </w:rPr>
            </w:pPr>
            <w:r>
              <w:rPr>
                <w:rFonts w:hint="eastAsia" w:ascii="仿宋" w:hAnsi="仿宋" w:eastAsia="仿宋" w:cs="仿宋"/>
                <w:color w:val="auto"/>
                <w:kern w:val="0"/>
                <w:sz w:val="22"/>
                <w:highlight w:val="none"/>
                <w:lang w:val="en-US" w:eastAsia="zh-CN" w:bidi="ar"/>
              </w:rPr>
              <w:t>密集母线</w:t>
            </w: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default" w:ascii="仿宋" w:hAnsi="仿宋" w:eastAsia="仿宋" w:cs="仿宋"/>
                <w:color w:val="auto"/>
                <w:kern w:val="0"/>
                <w:sz w:val="22"/>
                <w:highlight w:val="none"/>
                <w:lang w:val="en-US" w:eastAsia="zh-CN" w:bidi="ar"/>
              </w:rPr>
            </w:pPr>
            <w:r>
              <w:rPr>
                <w:rFonts w:hint="eastAsia" w:ascii="仿宋" w:hAnsi="仿宋" w:eastAsia="仿宋" w:cs="仿宋"/>
                <w:color w:val="auto"/>
                <w:kern w:val="0"/>
                <w:sz w:val="22"/>
                <w:highlight w:val="none"/>
                <w:lang w:val="en-US" w:eastAsia="zh-CN" w:bidi="ar"/>
              </w:rPr>
              <w:t>德声、博斐特、艾博</w:t>
            </w: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bidi="ar"/>
              </w:rPr>
            </w:pPr>
          </w:p>
        </w:tc>
      </w:tr>
      <w:tr>
        <w:tblPrEx>
          <w:tblCellMar>
            <w:top w:w="0" w:type="dxa"/>
            <w:left w:w="0" w:type="dxa"/>
            <w:bottom w:w="0" w:type="dxa"/>
            <w:right w:w="0" w:type="dxa"/>
          </w:tblCellMar>
        </w:tblPrEx>
        <w:trPr>
          <w:trHeight w:val="540" w:hRule="atLeast"/>
          <w:jc w:val="center"/>
        </w:trPr>
        <w:tc>
          <w:tcPr>
            <w:tcW w:w="7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ascii="仿宋" w:hAnsi="仿宋" w:eastAsia="仿宋" w:cs="仿宋"/>
                <w:color w:val="auto"/>
                <w:sz w:val="22"/>
                <w:highlight w:val="none"/>
                <w:lang w:val="en-US" w:eastAsia="zh-CN"/>
              </w:rPr>
            </w:pPr>
          </w:p>
        </w:tc>
        <w:tc>
          <w:tcPr>
            <w:tcW w:w="17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val="en-US" w:eastAsia="zh-CN" w:bidi="ar"/>
              </w:rPr>
            </w:pPr>
          </w:p>
        </w:tc>
        <w:tc>
          <w:tcPr>
            <w:tcW w:w="3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val="en-US" w:eastAsia="zh-CN" w:bidi="ar"/>
              </w:rPr>
            </w:pPr>
          </w:p>
        </w:tc>
        <w:tc>
          <w:tcPr>
            <w:tcW w:w="22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auto"/>
                <w:kern w:val="0"/>
                <w:sz w:val="22"/>
                <w:highlight w:val="none"/>
                <w:lang w:bidi="ar"/>
              </w:rPr>
            </w:pPr>
          </w:p>
        </w:tc>
      </w:tr>
    </w:tbl>
    <w:p>
      <w:pPr>
        <w:ind w:right="-445" w:rightChars="-159"/>
        <w:jc w:val="center"/>
        <w:rPr>
          <w:rFonts w:hint="eastAsia"/>
          <w:color w:val="auto"/>
          <w:sz w:val="24"/>
          <w:szCs w:val="24"/>
          <w:highlight w:val="none"/>
          <w:lang w:eastAsia="zh-CN"/>
        </w:rPr>
      </w:pPr>
    </w:p>
    <w:p>
      <w:pPr>
        <w:keepNext w:val="0"/>
        <w:keepLines w:val="0"/>
        <w:pageBreakBefore w:val="0"/>
        <w:widowControl w:val="0"/>
        <w:kinsoku/>
        <w:wordWrap/>
        <w:overflowPunct/>
        <w:topLinePunct w:val="0"/>
        <w:autoSpaceDE/>
        <w:autoSpaceDN/>
        <w:bidi w:val="0"/>
        <w:adjustRightInd/>
        <w:snapToGrid/>
        <w:spacing w:line="540" w:lineRule="exact"/>
        <w:ind w:left="-238" w:leftChars="-85" w:right="-445" w:rightChars="-159"/>
        <w:jc w:val="both"/>
        <w:textAlignment w:val="auto"/>
        <w:rPr>
          <w:rFonts w:hint="eastAsia" w:ascii="黑体" w:hAnsi="Times New Roman" w:eastAsia="黑体" w:cs="Times New Roman"/>
          <w:b/>
          <w:color w:val="auto"/>
          <w:sz w:val="26"/>
          <w:szCs w:val="26"/>
          <w:highlight w:val="none"/>
        </w:rPr>
      </w:pPr>
      <w:r>
        <w:rPr>
          <w:rFonts w:hint="eastAsia" w:ascii="黑体" w:eastAsia="黑体"/>
          <w:b/>
          <w:color w:val="auto"/>
          <w:sz w:val="26"/>
          <w:szCs w:val="26"/>
          <w:highlight w:val="none"/>
          <w:lang w:val="en-US" w:eastAsia="zh-CN"/>
        </w:rPr>
        <w:t>十</w:t>
      </w:r>
      <w:r>
        <w:rPr>
          <w:rFonts w:hint="eastAsia" w:ascii="黑体" w:eastAsia="黑体"/>
          <w:b/>
          <w:color w:val="auto"/>
          <w:sz w:val="26"/>
          <w:szCs w:val="26"/>
          <w:highlight w:val="none"/>
        </w:rPr>
        <w:t>、编制单位：</w:t>
      </w:r>
      <w:r>
        <w:rPr>
          <w:rFonts w:hint="eastAsia" w:ascii="黑体" w:hAnsi="Times New Roman" w:eastAsia="黑体" w:cs="Times New Roman"/>
          <w:b/>
          <w:color w:val="auto"/>
          <w:sz w:val="26"/>
          <w:szCs w:val="26"/>
          <w:highlight w:val="none"/>
        </w:rPr>
        <w:t>广东华禹工程咨询有限公司</w:t>
      </w: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黑体" w:eastAsia="黑体"/>
          <w:b/>
          <w:color w:val="auto"/>
          <w:sz w:val="26"/>
          <w:szCs w:val="26"/>
          <w:highlight w:val="none"/>
        </w:rPr>
      </w:pPr>
    </w:p>
    <w:p>
      <w:pPr>
        <w:keepNext w:val="0"/>
        <w:keepLines w:val="0"/>
        <w:pageBreakBefore w:val="0"/>
        <w:widowControl w:val="0"/>
        <w:kinsoku/>
        <w:wordWrap/>
        <w:overflowPunct/>
        <w:topLinePunct w:val="0"/>
        <w:autoSpaceDE/>
        <w:autoSpaceDN/>
        <w:bidi w:val="0"/>
        <w:adjustRightInd/>
        <w:snapToGrid/>
        <w:spacing w:line="540" w:lineRule="exact"/>
        <w:ind w:firstLine="650" w:firstLineChars="250"/>
        <w:textAlignment w:val="auto"/>
        <w:rPr>
          <w:rFonts w:hint="eastAsia" w:ascii="黑体" w:eastAsia="黑体"/>
          <w:color w:val="auto"/>
          <w:sz w:val="26"/>
          <w:szCs w:val="26"/>
          <w:highlight w:val="none"/>
        </w:rPr>
      </w:pPr>
    </w:p>
    <w:p>
      <w:pPr>
        <w:keepNext w:val="0"/>
        <w:keepLines w:val="0"/>
        <w:pageBreakBefore w:val="0"/>
        <w:widowControl w:val="0"/>
        <w:kinsoku/>
        <w:wordWrap/>
        <w:overflowPunct/>
        <w:topLinePunct w:val="0"/>
        <w:autoSpaceDE/>
        <w:autoSpaceDN/>
        <w:bidi w:val="0"/>
        <w:adjustRightInd/>
        <w:snapToGrid/>
        <w:spacing w:line="540" w:lineRule="exact"/>
        <w:ind w:firstLine="650" w:firstLineChars="250"/>
        <w:textAlignment w:val="auto"/>
        <w:rPr>
          <w:rFonts w:hint="eastAsia" w:ascii="黑体" w:eastAsia="黑体"/>
          <w:color w:val="auto"/>
          <w:sz w:val="26"/>
          <w:szCs w:val="26"/>
          <w:highlight w:val="none"/>
        </w:rPr>
      </w:pPr>
      <w:r>
        <w:rPr>
          <w:rFonts w:hint="eastAsia" w:ascii="黑体" w:eastAsia="黑体"/>
          <w:color w:val="auto"/>
          <w:sz w:val="26"/>
          <w:szCs w:val="26"/>
          <w:highlight w:val="none"/>
        </w:rPr>
        <w:t xml:space="preserve">编制人员：_____________  </w:t>
      </w:r>
    </w:p>
    <w:p>
      <w:pPr>
        <w:keepNext w:val="0"/>
        <w:keepLines w:val="0"/>
        <w:pageBreakBefore w:val="0"/>
        <w:widowControl w:val="0"/>
        <w:kinsoku/>
        <w:wordWrap/>
        <w:overflowPunct/>
        <w:topLinePunct w:val="0"/>
        <w:autoSpaceDE/>
        <w:autoSpaceDN/>
        <w:bidi w:val="0"/>
        <w:adjustRightInd/>
        <w:snapToGrid/>
        <w:spacing w:line="540" w:lineRule="exact"/>
        <w:ind w:firstLine="650" w:firstLineChars="250"/>
        <w:textAlignment w:val="auto"/>
        <w:rPr>
          <w:rFonts w:hint="eastAsia" w:ascii="黑体" w:eastAsia="黑体"/>
          <w:color w:val="auto"/>
          <w:sz w:val="26"/>
          <w:szCs w:val="26"/>
          <w:highlight w:val="none"/>
        </w:rPr>
      </w:pPr>
      <w:r>
        <w:rPr>
          <w:rFonts w:hint="eastAsia" w:ascii="黑体" w:eastAsia="黑体"/>
          <w:color w:val="auto"/>
          <w:sz w:val="26"/>
          <w:szCs w:val="26"/>
          <w:highlight w:val="none"/>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50" w:firstLineChars="250"/>
        <w:textAlignment w:val="auto"/>
        <w:rPr>
          <w:rFonts w:ascii="黑体" w:eastAsia="黑体"/>
          <w:color w:val="auto"/>
          <w:sz w:val="26"/>
          <w:szCs w:val="26"/>
          <w:highlight w:val="none"/>
        </w:rPr>
      </w:pPr>
      <w:r>
        <w:rPr>
          <w:rFonts w:hint="eastAsia" w:ascii="黑体" w:eastAsia="黑体"/>
          <w:color w:val="auto"/>
          <w:sz w:val="26"/>
          <w:szCs w:val="26"/>
          <w:highlight w:val="none"/>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580" w:leftChars="207" w:firstLine="130" w:firstLineChars="50"/>
        <w:textAlignment w:val="auto"/>
        <w:rPr>
          <w:rFonts w:hint="eastAsia" w:ascii="黑体" w:eastAsia="黑体"/>
          <w:color w:val="auto"/>
          <w:sz w:val="26"/>
          <w:szCs w:val="26"/>
          <w:highlight w:val="none"/>
        </w:rPr>
      </w:pPr>
      <w:r>
        <w:rPr>
          <w:rFonts w:hint="eastAsia" w:ascii="黑体" w:eastAsia="黑体"/>
          <w:color w:val="auto"/>
          <w:sz w:val="26"/>
          <w:szCs w:val="26"/>
          <w:highlight w:val="none"/>
        </w:rPr>
        <w:t xml:space="preserve">复核人员：______________  </w:t>
      </w:r>
    </w:p>
    <w:p>
      <w:pPr>
        <w:keepNext w:val="0"/>
        <w:keepLines w:val="0"/>
        <w:pageBreakBefore w:val="0"/>
        <w:widowControl w:val="0"/>
        <w:kinsoku/>
        <w:wordWrap/>
        <w:overflowPunct/>
        <w:topLinePunct w:val="0"/>
        <w:autoSpaceDE/>
        <w:autoSpaceDN/>
        <w:bidi w:val="0"/>
        <w:adjustRightInd/>
        <w:snapToGrid/>
        <w:spacing w:line="540" w:lineRule="exact"/>
        <w:ind w:left="580" w:leftChars="207" w:firstLine="130" w:firstLineChars="50"/>
        <w:textAlignment w:val="auto"/>
        <w:rPr>
          <w:rFonts w:hint="eastAsia" w:ascii="黑体" w:eastAsia="黑体"/>
          <w:color w:val="auto"/>
          <w:sz w:val="26"/>
          <w:szCs w:val="26"/>
          <w:highlight w:val="none"/>
        </w:rPr>
      </w:pPr>
      <w:r>
        <w:rPr>
          <w:rFonts w:hint="eastAsia" w:ascii="黑体" w:eastAsia="黑体"/>
          <w:color w:val="auto"/>
          <w:sz w:val="26"/>
          <w:szCs w:val="26"/>
          <w:highlight w:val="none"/>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580" w:leftChars="207" w:firstLine="130" w:firstLineChars="50"/>
        <w:textAlignment w:val="auto"/>
        <w:rPr>
          <w:rFonts w:ascii="黑体" w:eastAsia="黑体"/>
          <w:color w:val="auto"/>
          <w:sz w:val="26"/>
          <w:szCs w:val="26"/>
          <w:highlight w:val="none"/>
        </w:rPr>
      </w:pPr>
      <w:r>
        <w:rPr>
          <w:rFonts w:ascii="黑体" w:eastAsia="黑体"/>
          <w:color w:val="auto"/>
          <w:sz w:val="26"/>
          <w:szCs w:val="26"/>
          <w:highlight w:val="none"/>
        </w:rPr>
        <w:t xml:space="preserve"> </w:t>
      </w:r>
      <w:r>
        <w:rPr>
          <w:rFonts w:hint="eastAsia" w:ascii="黑体" w:eastAsia="黑体"/>
          <w:color w:val="auto"/>
          <w:sz w:val="26"/>
          <w:szCs w:val="26"/>
          <w:highlight w:val="none"/>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50" w:firstLineChars="250"/>
        <w:textAlignment w:val="auto"/>
        <w:rPr>
          <w:rFonts w:hint="eastAsia" w:ascii="黑体" w:eastAsia="黑体"/>
          <w:color w:val="auto"/>
          <w:sz w:val="26"/>
          <w:szCs w:val="26"/>
          <w:highlight w:val="none"/>
        </w:rPr>
      </w:pPr>
      <w:r>
        <w:rPr>
          <w:rFonts w:hint="eastAsia" w:ascii="黑体" w:eastAsia="黑体"/>
          <w:color w:val="auto"/>
          <w:sz w:val="26"/>
          <w:szCs w:val="26"/>
          <w:highlight w:val="none"/>
        </w:rPr>
        <w:t xml:space="preserve">批 准 人：______________    </w:t>
      </w:r>
    </w:p>
    <w:p>
      <w:pPr>
        <w:keepNext w:val="0"/>
        <w:keepLines w:val="0"/>
        <w:pageBreakBefore w:val="0"/>
        <w:widowControl w:val="0"/>
        <w:kinsoku/>
        <w:wordWrap/>
        <w:overflowPunct/>
        <w:topLinePunct w:val="0"/>
        <w:autoSpaceDE/>
        <w:autoSpaceDN/>
        <w:bidi w:val="0"/>
        <w:adjustRightInd/>
        <w:snapToGrid/>
        <w:spacing w:before="480" w:beforeLines="200" w:line="540" w:lineRule="exact"/>
        <w:ind w:right="-336" w:rightChars="-120" w:firstLine="640" w:firstLineChars="200"/>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法</w:t>
      </w:r>
      <w:r>
        <w:rPr>
          <w:rFonts w:hint="eastAsia" w:ascii="仿宋_GB2312" w:hAnsi="Times New Roman" w:eastAsia="仿宋_GB2312" w:cs="Times New Roman"/>
          <w:color w:val="auto"/>
          <w:sz w:val="32"/>
          <w:szCs w:val="32"/>
          <w:highlight w:val="none"/>
          <w:lang w:val="en-US" w:eastAsia="zh-CN"/>
        </w:rPr>
        <w:t>定代表人或者授权人签章：</w:t>
      </w:r>
    </w:p>
    <w:p>
      <w:pPr>
        <w:keepNext w:val="0"/>
        <w:keepLines w:val="0"/>
        <w:pageBreakBefore w:val="0"/>
        <w:widowControl w:val="0"/>
        <w:kinsoku/>
        <w:wordWrap/>
        <w:overflowPunct/>
        <w:topLinePunct w:val="0"/>
        <w:autoSpaceDE/>
        <w:autoSpaceDN/>
        <w:bidi w:val="0"/>
        <w:adjustRightInd/>
        <w:snapToGrid/>
        <w:spacing w:line="540" w:lineRule="exact"/>
        <w:ind w:firstLine="650" w:firstLineChars="250"/>
        <w:textAlignment w:val="auto"/>
        <w:rPr>
          <w:rFonts w:hint="eastAsia" w:ascii="黑体" w:eastAsia="黑体"/>
          <w:color w:val="auto"/>
          <w:sz w:val="26"/>
          <w:szCs w:val="26"/>
          <w:highlight w:val="none"/>
        </w:rPr>
      </w:pPr>
      <w:r>
        <w:rPr>
          <w:rFonts w:hint="eastAsia" w:ascii="黑体" w:eastAsia="黑体"/>
          <w:color w:val="auto"/>
          <w:sz w:val="26"/>
          <w:szCs w:val="26"/>
          <w:highlight w:val="none"/>
        </w:rPr>
        <w:t xml:space="preserve">      </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黑体" w:eastAsia="黑体"/>
          <w:b/>
          <w:color w:val="auto"/>
          <w:sz w:val="26"/>
          <w:szCs w:val="26"/>
          <w:highlight w:val="none"/>
        </w:rPr>
      </w:pPr>
      <w:r>
        <w:rPr>
          <w:rFonts w:hint="eastAsia" w:ascii="黑体" w:eastAsia="黑体"/>
          <w:b/>
          <w:color w:val="auto"/>
          <w:sz w:val="26"/>
          <w:szCs w:val="26"/>
          <w:highlight w:val="none"/>
          <w:lang w:val="en-US" w:eastAsia="zh-CN"/>
        </w:rPr>
        <w:t>十一</w:t>
      </w:r>
      <w:r>
        <w:rPr>
          <w:rFonts w:hint="eastAsia" w:ascii="黑体" w:eastAsia="黑体"/>
          <w:b/>
          <w:color w:val="auto"/>
          <w:sz w:val="26"/>
          <w:szCs w:val="26"/>
          <w:highlight w:val="none"/>
        </w:rPr>
        <w:t>、审核单位：</w:t>
      </w:r>
      <w:r>
        <w:rPr>
          <w:rFonts w:hint="eastAsia" w:ascii="黑体" w:eastAsia="黑体"/>
          <w:b/>
          <w:color w:val="auto"/>
          <w:sz w:val="26"/>
          <w:szCs w:val="26"/>
          <w:highlight w:val="none"/>
          <w:lang w:val="en-US" w:eastAsia="zh-CN"/>
        </w:rPr>
        <w:t>中山市旭景工程咨询有限公司</w:t>
      </w:r>
    </w:p>
    <w:p>
      <w:pPr>
        <w:keepNext w:val="0"/>
        <w:keepLines w:val="0"/>
        <w:pageBreakBefore w:val="0"/>
        <w:widowControl w:val="0"/>
        <w:kinsoku/>
        <w:wordWrap/>
        <w:overflowPunct/>
        <w:topLinePunct w:val="0"/>
        <w:autoSpaceDE/>
        <w:autoSpaceDN/>
        <w:bidi w:val="0"/>
        <w:adjustRightInd/>
        <w:snapToGrid/>
        <w:spacing w:line="540" w:lineRule="exact"/>
        <w:ind w:firstLine="650" w:firstLineChars="250"/>
        <w:textAlignment w:val="auto"/>
        <w:rPr>
          <w:rFonts w:hint="eastAsia" w:ascii="黑体" w:eastAsia="黑体"/>
          <w:color w:val="auto"/>
          <w:sz w:val="26"/>
          <w:szCs w:val="26"/>
          <w:highlight w:val="none"/>
        </w:rPr>
      </w:pPr>
    </w:p>
    <w:p>
      <w:pPr>
        <w:keepNext w:val="0"/>
        <w:keepLines w:val="0"/>
        <w:pageBreakBefore w:val="0"/>
        <w:widowControl w:val="0"/>
        <w:kinsoku/>
        <w:wordWrap/>
        <w:overflowPunct/>
        <w:topLinePunct w:val="0"/>
        <w:autoSpaceDE/>
        <w:autoSpaceDN/>
        <w:bidi w:val="0"/>
        <w:adjustRightInd/>
        <w:snapToGrid/>
        <w:spacing w:line="540" w:lineRule="exact"/>
        <w:ind w:firstLine="650" w:firstLineChars="250"/>
        <w:textAlignment w:val="auto"/>
        <w:rPr>
          <w:rFonts w:hint="eastAsia" w:ascii="黑体" w:eastAsia="黑体"/>
          <w:color w:val="auto"/>
          <w:sz w:val="26"/>
          <w:szCs w:val="26"/>
          <w:highlight w:val="none"/>
        </w:rPr>
      </w:pPr>
    </w:p>
    <w:p>
      <w:pPr>
        <w:keepNext w:val="0"/>
        <w:keepLines w:val="0"/>
        <w:pageBreakBefore w:val="0"/>
        <w:widowControl w:val="0"/>
        <w:kinsoku/>
        <w:wordWrap/>
        <w:overflowPunct/>
        <w:topLinePunct w:val="0"/>
        <w:autoSpaceDE/>
        <w:autoSpaceDN/>
        <w:bidi w:val="0"/>
        <w:adjustRightInd/>
        <w:snapToGrid/>
        <w:spacing w:line="540" w:lineRule="exact"/>
        <w:ind w:firstLine="650" w:firstLineChars="250"/>
        <w:textAlignment w:val="auto"/>
        <w:rPr>
          <w:rFonts w:hint="eastAsia" w:ascii="黑体" w:eastAsia="黑体"/>
          <w:color w:val="auto"/>
          <w:sz w:val="26"/>
          <w:szCs w:val="26"/>
          <w:highlight w:val="none"/>
        </w:rPr>
      </w:pPr>
      <w:r>
        <w:rPr>
          <w:rFonts w:hint="eastAsia" w:ascii="黑体" w:eastAsia="黑体"/>
          <w:color w:val="auto"/>
          <w:sz w:val="26"/>
          <w:szCs w:val="26"/>
          <w:highlight w:val="none"/>
        </w:rPr>
        <w:t xml:space="preserve">审核人员：_____________  </w:t>
      </w:r>
    </w:p>
    <w:p>
      <w:pPr>
        <w:keepNext w:val="0"/>
        <w:keepLines w:val="0"/>
        <w:pageBreakBefore w:val="0"/>
        <w:widowControl w:val="0"/>
        <w:kinsoku/>
        <w:wordWrap/>
        <w:overflowPunct/>
        <w:topLinePunct w:val="0"/>
        <w:autoSpaceDE/>
        <w:autoSpaceDN/>
        <w:bidi w:val="0"/>
        <w:adjustRightInd/>
        <w:snapToGrid/>
        <w:spacing w:line="540" w:lineRule="exact"/>
        <w:ind w:firstLine="650" w:firstLineChars="250"/>
        <w:textAlignment w:val="auto"/>
        <w:rPr>
          <w:rFonts w:hint="eastAsia" w:ascii="黑体" w:eastAsia="黑体"/>
          <w:color w:val="auto"/>
          <w:sz w:val="26"/>
          <w:szCs w:val="26"/>
          <w:highlight w:val="none"/>
        </w:rPr>
      </w:pPr>
      <w:r>
        <w:rPr>
          <w:rFonts w:hint="eastAsia" w:ascii="黑体" w:eastAsia="黑体"/>
          <w:color w:val="auto"/>
          <w:sz w:val="26"/>
          <w:szCs w:val="26"/>
          <w:highlight w:val="none"/>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50" w:firstLineChars="250"/>
        <w:textAlignment w:val="auto"/>
        <w:rPr>
          <w:rFonts w:ascii="黑体" w:eastAsia="黑体"/>
          <w:color w:val="auto"/>
          <w:sz w:val="26"/>
          <w:szCs w:val="26"/>
          <w:highlight w:val="none"/>
        </w:rPr>
      </w:pPr>
      <w:r>
        <w:rPr>
          <w:rFonts w:hint="eastAsia" w:ascii="黑体" w:eastAsia="黑体"/>
          <w:color w:val="auto"/>
          <w:sz w:val="26"/>
          <w:szCs w:val="26"/>
          <w:highlight w:val="none"/>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580" w:leftChars="207" w:firstLine="130" w:firstLineChars="50"/>
        <w:textAlignment w:val="auto"/>
        <w:rPr>
          <w:rFonts w:hint="eastAsia" w:ascii="黑体" w:eastAsia="黑体"/>
          <w:color w:val="auto"/>
          <w:sz w:val="26"/>
          <w:szCs w:val="26"/>
          <w:highlight w:val="none"/>
        </w:rPr>
      </w:pPr>
      <w:r>
        <w:rPr>
          <w:rFonts w:hint="eastAsia" w:ascii="黑体" w:eastAsia="黑体"/>
          <w:color w:val="auto"/>
          <w:sz w:val="26"/>
          <w:szCs w:val="26"/>
          <w:highlight w:val="none"/>
        </w:rPr>
        <w:t xml:space="preserve">复核人员：______________  </w:t>
      </w:r>
    </w:p>
    <w:p>
      <w:pPr>
        <w:keepNext w:val="0"/>
        <w:keepLines w:val="0"/>
        <w:pageBreakBefore w:val="0"/>
        <w:widowControl w:val="0"/>
        <w:kinsoku/>
        <w:wordWrap/>
        <w:overflowPunct/>
        <w:topLinePunct w:val="0"/>
        <w:autoSpaceDE/>
        <w:autoSpaceDN/>
        <w:bidi w:val="0"/>
        <w:adjustRightInd/>
        <w:snapToGrid/>
        <w:spacing w:line="540" w:lineRule="exact"/>
        <w:ind w:left="580" w:leftChars="207" w:firstLine="130" w:firstLineChars="50"/>
        <w:textAlignment w:val="auto"/>
        <w:rPr>
          <w:rFonts w:hint="eastAsia" w:ascii="黑体" w:eastAsia="黑体"/>
          <w:color w:val="auto"/>
          <w:sz w:val="26"/>
          <w:szCs w:val="26"/>
          <w:highlight w:val="none"/>
        </w:rPr>
      </w:pPr>
      <w:r>
        <w:rPr>
          <w:rFonts w:hint="eastAsia" w:ascii="黑体" w:eastAsia="黑体"/>
          <w:color w:val="auto"/>
          <w:sz w:val="26"/>
          <w:szCs w:val="26"/>
          <w:highlight w:val="none"/>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580" w:leftChars="207" w:firstLine="130" w:firstLineChars="50"/>
        <w:textAlignment w:val="auto"/>
        <w:rPr>
          <w:rFonts w:ascii="黑体" w:eastAsia="黑体"/>
          <w:color w:val="auto"/>
          <w:sz w:val="26"/>
          <w:szCs w:val="26"/>
          <w:highlight w:val="none"/>
        </w:rPr>
      </w:pPr>
      <w:r>
        <w:rPr>
          <w:rFonts w:ascii="黑体" w:eastAsia="黑体"/>
          <w:color w:val="auto"/>
          <w:sz w:val="26"/>
          <w:szCs w:val="26"/>
          <w:highlight w:val="none"/>
        </w:rPr>
        <w:t xml:space="preserve"> </w:t>
      </w:r>
      <w:r>
        <w:rPr>
          <w:rFonts w:hint="eastAsia" w:ascii="黑体" w:eastAsia="黑体"/>
          <w:color w:val="auto"/>
          <w:sz w:val="26"/>
          <w:szCs w:val="26"/>
          <w:highlight w:val="none"/>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50" w:firstLineChars="250"/>
        <w:textAlignment w:val="auto"/>
        <w:rPr>
          <w:rFonts w:hint="eastAsia" w:ascii="黑体" w:eastAsia="黑体"/>
          <w:color w:val="auto"/>
          <w:sz w:val="26"/>
          <w:szCs w:val="26"/>
          <w:highlight w:val="none"/>
        </w:rPr>
      </w:pPr>
      <w:r>
        <w:rPr>
          <w:rFonts w:hint="eastAsia" w:ascii="黑体" w:eastAsia="黑体"/>
          <w:color w:val="auto"/>
          <w:sz w:val="26"/>
          <w:szCs w:val="26"/>
          <w:highlight w:val="none"/>
        </w:rPr>
        <w:t xml:space="preserve">批 准 人：______________ </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黑体" w:eastAsia="黑体"/>
          <w:b/>
          <w:color w:val="auto"/>
          <w:sz w:val="26"/>
          <w:szCs w:val="26"/>
          <w:highlight w:val="none"/>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b/>
          <w:color w:val="auto"/>
          <w:highlight w:val="none"/>
          <w:lang w:val="en-US" w:eastAsia="zh-CN"/>
        </w:rPr>
      </w:pPr>
      <w:r>
        <w:rPr>
          <w:rFonts w:hint="eastAsia" w:ascii="黑体" w:eastAsia="黑体"/>
          <w:b/>
          <w:color w:val="auto"/>
          <w:sz w:val="26"/>
          <w:szCs w:val="26"/>
          <w:highlight w:val="none"/>
        </w:rPr>
        <w:t>十</w:t>
      </w:r>
      <w:r>
        <w:rPr>
          <w:rFonts w:hint="eastAsia" w:ascii="黑体" w:eastAsia="黑体"/>
          <w:b/>
          <w:color w:val="auto"/>
          <w:sz w:val="26"/>
          <w:szCs w:val="26"/>
          <w:highlight w:val="none"/>
          <w:lang w:val="en-US" w:eastAsia="zh-CN"/>
        </w:rPr>
        <w:t>二</w:t>
      </w:r>
      <w:r>
        <w:rPr>
          <w:rFonts w:hint="eastAsia" w:ascii="黑体" w:eastAsia="黑体"/>
          <w:b/>
          <w:color w:val="auto"/>
          <w:sz w:val="26"/>
          <w:szCs w:val="26"/>
          <w:highlight w:val="none"/>
        </w:rPr>
        <w:t>、日期</w:t>
      </w:r>
      <w:r>
        <w:rPr>
          <w:rFonts w:hint="eastAsia"/>
          <w:b/>
          <w:color w:val="auto"/>
          <w:highlight w:val="none"/>
        </w:rPr>
        <w:t>：</w:t>
      </w:r>
      <w:r>
        <w:rPr>
          <w:rFonts w:hint="eastAsia"/>
          <w:b/>
          <w:color w:val="auto"/>
          <w:highlight w:val="none"/>
          <w:lang w:val="en-US" w:eastAsia="zh-CN"/>
        </w:rPr>
        <w:t>2023年10月27日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华文新魏">
    <w:altName w:val="宋体"/>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851AC9"/>
    <w:multiLevelType w:val="multilevel"/>
    <w:tmpl w:val="04851AC9"/>
    <w:lvl w:ilvl="0" w:tentative="0">
      <w:start w:val="1"/>
      <w:numFmt w:val="japaneseCounting"/>
      <w:lvlText w:val="%1、"/>
      <w:lvlJc w:val="left"/>
      <w:pPr>
        <w:tabs>
          <w:tab w:val="left" w:pos="562"/>
        </w:tabs>
        <w:ind w:left="562" w:hanging="420"/>
      </w:pPr>
      <w:rPr>
        <w:rFonts w:hint="eastAsia" w:ascii="黑体" w:eastAsia="黑体"/>
      </w:rPr>
    </w:lvl>
    <w:lvl w:ilvl="1" w:tentative="0">
      <w:start w:val="3"/>
      <w:numFmt w:val="decimal"/>
      <w:lvlText w:val="（%2）"/>
      <w:lvlJc w:val="left"/>
      <w:pPr>
        <w:tabs>
          <w:tab w:val="left" w:pos="1140"/>
        </w:tabs>
        <w:ind w:left="1140" w:hanging="720"/>
      </w:pPr>
      <w:rPr>
        <w:rFonts w:hint="default" w:hAnsi="宋体" w:cs="宋体"/>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1MDE4ZTA2OTliYTllMGVkZjIxYzg5Mjc4OWRhZjEifQ=="/>
  </w:docVars>
  <w:rsids>
    <w:rsidRoot w:val="2E473490"/>
    <w:rsid w:val="00576299"/>
    <w:rsid w:val="00CC7327"/>
    <w:rsid w:val="036D68CD"/>
    <w:rsid w:val="07C85CD3"/>
    <w:rsid w:val="0B100738"/>
    <w:rsid w:val="0DDE4FD5"/>
    <w:rsid w:val="0E9628D8"/>
    <w:rsid w:val="129E2F84"/>
    <w:rsid w:val="196A5FC1"/>
    <w:rsid w:val="219930C9"/>
    <w:rsid w:val="228B3B7A"/>
    <w:rsid w:val="22F97D63"/>
    <w:rsid w:val="2A176A9D"/>
    <w:rsid w:val="2A553ED5"/>
    <w:rsid w:val="2D367455"/>
    <w:rsid w:val="2E473490"/>
    <w:rsid w:val="2FDB12D6"/>
    <w:rsid w:val="323E7329"/>
    <w:rsid w:val="337243CB"/>
    <w:rsid w:val="36405F7D"/>
    <w:rsid w:val="3A9D71FE"/>
    <w:rsid w:val="3ACA1181"/>
    <w:rsid w:val="3B3A10D1"/>
    <w:rsid w:val="3B7B41C5"/>
    <w:rsid w:val="3C5972C5"/>
    <w:rsid w:val="3D157D5E"/>
    <w:rsid w:val="4C0373D9"/>
    <w:rsid w:val="4D7064FA"/>
    <w:rsid w:val="4D992F49"/>
    <w:rsid w:val="4E2B17E7"/>
    <w:rsid w:val="4F5F6C84"/>
    <w:rsid w:val="5B367418"/>
    <w:rsid w:val="5F026CC0"/>
    <w:rsid w:val="5F136518"/>
    <w:rsid w:val="607835DC"/>
    <w:rsid w:val="61242E76"/>
    <w:rsid w:val="618B064B"/>
    <w:rsid w:val="66492646"/>
    <w:rsid w:val="66B44F4B"/>
    <w:rsid w:val="67DB65AC"/>
    <w:rsid w:val="68582403"/>
    <w:rsid w:val="688A5836"/>
    <w:rsid w:val="75F7620D"/>
    <w:rsid w:val="77F33A59"/>
    <w:rsid w:val="7F443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paragraph" w:styleId="2">
    <w:name w:val="heading 2"/>
    <w:basedOn w:val="1"/>
    <w:next w:val="1"/>
    <w:qFormat/>
    <w:uiPriority w:val="0"/>
    <w:pPr>
      <w:keepNext/>
      <w:keepLines/>
      <w:spacing w:before="200" w:beforeLines="0" w:after="200" w:afterLines="0"/>
      <w:outlineLvl w:val="1"/>
    </w:pPr>
    <w:rPr>
      <w:rFonts w:ascii="宋体" w:hAnsi="宋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szCs w:val="21"/>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表格文字"/>
    <w:basedOn w:val="1"/>
    <w:qFormat/>
    <w:uiPriority w:val="0"/>
    <w:pPr>
      <w:spacing w:before="25" w:after="25" w:line="300" w:lineRule="auto"/>
    </w:pPr>
    <w:rPr>
      <w:rFonts w:ascii="Times" w:hAnsi="Times"/>
      <w:spacing w:val="1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1163</Words>
  <Characters>1349</Characters>
  <Lines>0</Lines>
  <Paragraphs>0</Paragraphs>
  <TotalTime>97</TotalTime>
  <ScaleCrop>false</ScaleCrop>
  <LinksUpToDate>false</LinksUpToDate>
  <CharactersWithSpaces>1403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2023-07-24T07:13:00Z</dcterms:created>
  <dc:creator>Administrator</dc:creator>
  <cp:lastModifiedBy>Administrator</cp:lastModifiedBy>
  <dcterms:modified xsi:type="dcterms:W3CDTF">2023-10-27T08:01:04Z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2995E811A0F64268B7EC52E3E5608143_13</vt:lpwstr>
  </property>
</Properties>
</file>